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51" w:rsidRDefault="00F5204F" w:rsidP="00F5204F">
      <w:pPr>
        <w:tabs>
          <w:tab w:val="left" w:pos="360"/>
        </w:tabs>
        <w:jc w:val="center"/>
        <w:rPr>
          <w:rFonts w:ascii="Times New Roman" w:hAnsi="Times New Roman"/>
          <w:b/>
        </w:rPr>
      </w:pPr>
      <w:r>
        <w:rPr>
          <w:rFonts w:ascii="Times New Roman" w:hAnsi="Times New Roman"/>
          <w:b/>
        </w:rPr>
        <w:t xml:space="preserve">The International Code of Conduct for Private Security Service Providers and </w:t>
      </w:r>
    </w:p>
    <w:p w:rsidR="00F5204F" w:rsidRPr="00F5204F" w:rsidRDefault="00F5204F" w:rsidP="00F5204F">
      <w:pPr>
        <w:tabs>
          <w:tab w:val="left" w:pos="360"/>
        </w:tabs>
        <w:jc w:val="center"/>
        <w:rPr>
          <w:rFonts w:ascii="Times New Roman" w:hAnsi="Times New Roman"/>
          <w:b/>
        </w:rPr>
      </w:pPr>
      <w:r>
        <w:rPr>
          <w:rFonts w:ascii="Times New Roman" w:hAnsi="Times New Roman"/>
          <w:b/>
        </w:rPr>
        <w:t>Rules for the Use of Force</w:t>
      </w:r>
    </w:p>
    <w:p w:rsidR="00F5204F" w:rsidRDefault="00F5204F" w:rsidP="00755B7D">
      <w:pPr>
        <w:tabs>
          <w:tab w:val="left" w:pos="360"/>
        </w:tabs>
        <w:rPr>
          <w:rFonts w:ascii="Times New Roman" w:hAnsi="Times New Roman"/>
        </w:rPr>
      </w:pPr>
    </w:p>
    <w:p w:rsidR="00BB0CC0" w:rsidRDefault="00BB0CC0" w:rsidP="00BB0CC0">
      <w:pPr>
        <w:tabs>
          <w:tab w:val="left" w:pos="360"/>
        </w:tabs>
        <w:jc w:val="center"/>
        <w:rPr>
          <w:rFonts w:ascii="Times New Roman" w:hAnsi="Times New Roman"/>
        </w:rPr>
      </w:pPr>
      <w:r>
        <w:rPr>
          <w:rFonts w:ascii="Times New Roman" w:hAnsi="Times New Roman"/>
        </w:rPr>
        <w:t>Christopher T. Mayer</w:t>
      </w:r>
      <w:r w:rsidR="00043CBD">
        <w:rPr>
          <w:rStyle w:val="FootnoteReference"/>
          <w:rFonts w:ascii="Times New Roman" w:hAnsi="Times New Roman"/>
        </w:rPr>
        <w:footnoteReference w:id="1"/>
      </w:r>
    </w:p>
    <w:p w:rsidR="00BB0CC0" w:rsidRDefault="00BB0CC0" w:rsidP="00755B7D">
      <w:pPr>
        <w:tabs>
          <w:tab w:val="left" w:pos="360"/>
        </w:tabs>
        <w:rPr>
          <w:rFonts w:ascii="Times New Roman" w:hAnsi="Times New Roman"/>
        </w:rPr>
      </w:pPr>
    </w:p>
    <w:p w:rsidR="00F5204F" w:rsidRDefault="00F5204F" w:rsidP="00755B7D">
      <w:pPr>
        <w:tabs>
          <w:tab w:val="left" w:pos="360"/>
        </w:tabs>
        <w:rPr>
          <w:rFonts w:ascii="Times New Roman" w:hAnsi="Times New Roman"/>
        </w:rPr>
      </w:pPr>
      <w:r>
        <w:rPr>
          <w:rFonts w:ascii="Times New Roman" w:hAnsi="Times New Roman"/>
        </w:rPr>
        <w:t xml:space="preserve">Summary: </w:t>
      </w:r>
      <w:r w:rsidR="00FF23AF">
        <w:rPr>
          <w:rFonts w:ascii="Times New Roman" w:hAnsi="Times New Roman"/>
        </w:rPr>
        <w:t xml:space="preserve"> </w:t>
      </w:r>
      <w:r>
        <w:rPr>
          <w:rFonts w:ascii="Times New Roman" w:hAnsi="Times New Roman"/>
        </w:rPr>
        <w:t xml:space="preserve">The new International Code of Conduct for Private Security Service Providers (ICoC) requires companies to operate in accordance with published rules for the use of force (RUF). The ICoC also describes principles </w:t>
      </w:r>
      <w:r w:rsidR="00FF23AF">
        <w:rPr>
          <w:rFonts w:ascii="Times New Roman" w:hAnsi="Times New Roman"/>
        </w:rPr>
        <w:t>to</w:t>
      </w:r>
      <w:r>
        <w:rPr>
          <w:rFonts w:ascii="Times New Roman" w:hAnsi="Times New Roman"/>
        </w:rPr>
        <w:t xml:space="preserve"> be </w:t>
      </w:r>
      <w:r w:rsidR="00FF23AF">
        <w:rPr>
          <w:rFonts w:ascii="Times New Roman" w:hAnsi="Times New Roman"/>
        </w:rPr>
        <w:t>observed</w:t>
      </w:r>
      <w:r>
        <w:rPr>
          <w:rFonts w:ascii="Times New Roman" w:hAnsi="Times New Roman"/>
        </w:rPr>
        <w:t xml:space="preserve"> when formulating such RUF.  These principles are consistent with existing U.S. Government policies and procedures for the RUF as it applies to contract security services.</w:t>
      </w:r>
    </w:p>
    <w:p w:rsidR="00F5204F" w:rsidRDefault="00F5204F" w:rsidP="00755B7D">
      <w:pPr>
        <w:tabs>
          <w:tab w:val="left" w:pos="360"/>
        </w:tabs>
        <w:rPr>
          <w:rFonts w:ascii="Times New Roman" w:hAnsi="Times New Roman"/>
        </w:rPr>
      </w:pPr>
    </w:p>
    <w:p w:rsidR="00477B8B" w:rsidRPr="00755B7D" w:rsidRDefault="00755B7D" w:rsidP="00755B7D">
      <w:pPr>
        <w:tabs>
          <w:tab w:val="left" w:pos="360"/>
        </w:tabs>
        <w:rPr>
          <w:rFonts w:ascii="Times New Roman" w:hAnsi="Times New Roman"/>
        </w:rPr>
      </w:pPr>
      <w:r>
        <w:rPr>
          <w:rFonts w:ascii="Times New Roman" w:hAnsi="Times New Roman"/>
        </w:rPr>
        <w:tab/>
      </w:r>
      <w:r w:rsidR="00477B8B" w:rsidRPr="00755B7D">
        <w:rPr>
          <w:rFonts w:ascii="Times New Roman" w:hAnsi="Times New Roman"/>
        </w:rPr>
        <w:t xml:space="preserve">Complex environments in many regions of the world overwhelm the ability of governments to respond to crises and meet the essential needs of their populations. </w:t>
      </w:r>
      <w:r w:rsidR="00566735" w:rsidRPr="00755B7D">
        <w:rPr>
          <w:rFonts w:ascii="Times New Roman" w:hAnsi="Times New Roman"/>
        </w:rPr>
        <w:t>E</w:t>
      </w:r>
      <w:r w:rsidR="00477B8B" w:rsidRPr="00755B7D">
        <w:rPr>
          <w:rFonts w:ascii="Times New Roman" w:hAnsi="Times New Roman"/>
        </w:rPr>
        <w:t xml:space="preserve">ven where governments have not </w:t>
      </w:r>
      <w:r w:rsidR="00756D37" w:rsidRPr="00755B7D">
        <w:rPr>
          <w:rFonts w:ascii="Times New Roman" w:hAnsi="Times New Roman"/>
        </w:rPr>
        <w:t xml:space="preserve">entirely </w:t>
      </w:r>
      <w:r w:rsidR="00477B8B" w:rsidRPr="00755B7D">
        <w:rPr>
          <w:rFonts w:ascii="Times New Roman" w:hAnsi="Times New Roman"/>
        </w:rPr>
        <w:t xml:space="preserve">collapsed, the rule of law </w:t>
      </w:r>
      <w:r w:rsidR="00566735" w:rsidRPr="00755B7D">
        <w:rPr>
          <w:rFonts w:ascii="Times New Roman" w:hAnsi="Times New Roman"/>
        </w:rPr>
        <w:t>can be</w:t>
      </w:r>
      <w:r w:rsidR="00477B8B" w:rsidRPr="00755B7D">
        <w:rPr>
          <w:rFonts w:ascii="Times New Roman" w:hAnsi="Times New Roman"/>
        </w:rPr>
        <w:t xml:space="preserve"> severely damaged</w:t>
      </w:r>
      <w:r w:rsidR="00FF23AF">
        <w:rPr>
          <w:rFonts w:ascii="Times New Roman" w:hAnsi="Times New Roman"/>
        </w:rPr>
        <w:t>,</w:t>
      </w:r>
      <w:r w:rsidR="00477B8B" w:rsidRPr="00755B7D">
        <w:rPr>
          <w:rFonts w:ascii="Times New Roman" w:hAnsi="Times New Roman"/>
        </w:rPr>
        <w:t xml:space="preserve"> and normal public safety mechanisms may no longer function</w:t>
      </w:r>
      <w:r w:rsidR="007977D2" w:rsidRPr="00755B7D">
        <w:rPr>
          <w:rFonts w:ascii="Times New Roman" w:hAnsi="Times New Roman"/>
        </w:rPr>
        <w:t>.</w:t>
      </w:r>
      <w:r w:rsidR="00477B8B" w:rsidRPr="00755B7D">
        <w:rPr>
          <w:rFonts w:ascii="Times New Roman" w:hAnsi="Times New Roman"/>
        </w:rPr>
        <w:t xml:space="preserve"> In these cases, commercial security services may be necessary to safeguard the lives of those providing relief, early recovery, and the reconstruction of critical infrastructure necessary for the survival of the civilian population.  Because </w:t>
      </w:r>
      <w:r w:rsidR="00FF23AF">
        <w:rPr>
          <w:rFonts w:ascii="Times New Roman" w:hAnsi="Times New Roman"/>
        </w:rPr>
        <w:t>provision of necessary</w:t>
      </w:r>
      <w:r w:rsidR="00477B8B" w:rsidRPr="00755B7D">
        <w:rPr>
          <w:rFonts w:ascii="Times New Roman" w:hAnsi="Times New Roman"/>
        </w:rPr>
        <w:t xml:space="preserve"> protection may involve the use of force, including deadly force, precautions </w:t>
      </w:r>
      <w:r w:rsidR="00566735" w:rsidRPr="00755B7D">
        <w:rPr>
          <w:rFonts w:ascii="Times New Roman" w:hAnsi="Times New Roman"/>
        </w:rPr>
        <w:t>are necessary</w:t>
      </w:r>
      <w:r w:rsidR="00477B8B" w:rsidRPr="00755B7D">
        <w:rPr>
          <w:rFonts w:ascii="Times New Roman" w:hAnsi="Times New Roman"/>
        </w:rPr>
        <w:t xml:space="preserve"> to mitigate the risk that </w:t>
      </w:r>
      <w:r w:rsidR="007214FC" w:rsidRPr="00755B7D">
        <w:rPr>
          <w:rFonts w:ascii="Times New Roman" w:hAnsi="Times New Roman"/>
        </w:rPr>
        <w:t>these</w:t>
      </w:r>
      <w:r w:rsidR="00477B8B" w:rsidRPr="00755B7D">
        <w:rPr>
          <w:rFonts w:ascii="Times New Roman" w:hAnsi="Times New Roman"/>
        </w:rPr>
        <w:t xml:space="preserve"> protective services might create further insecurity and adversely affect the restoration of </w:t>
      </w:r>
      <w:r w:rsidR="003F111E">
        <w:rPr>
          <w:rFonts w:ascii="Times New Roman" w:hAnsi="Times New Roman"/>
        </w:rPr>
        <w:t xml:space="preserve">the </w:t>
      </w:r>
      <w:r w:rsidR="00477B8B" w:rsidRPr="00755B7D">
        <w:rPr>
          <w:rFonts w:ascii="Times New Roman" w:hAnsi="Times New Roman"/>
        </w:rPr>
        <w:t>rule of law.  These precautions include effective rules for the use of force (RUF</w:t>
      </w:r>
      <w:r w:rsidR="005137CB" w:rsidRPr="00755B7D">
        <w:rPr>
          <w:rFonts w:ascii="Times New Roman" w:hAnsi="Times New Roman"/>
        </w:rPr>
        <w:t>).</w:t>
      </w:r>
      <w:r w:rsidR="00477B8B" w:rsidRPr="00755B7D">
        <w:rPr>
          <w:rFonts w:ascii="Times New Roman" w:hAnsi="Times New Roman"/>
        </w:rPr>
        <w:t xml:space="preserve"> </w:t>
      </w:r>
      <w:r w:rsidR="003F111E">
        <w:rPr>
          <w:rFonts w:ascii="Times New Roman" w:hAnsi="Times New Roman"/>
        </w:rPr>
        <w:t>The r</w:t>
      </w:r>
      <w:r w:rsidR="007214FC" w:rsidRPr="00755B7D">
        <w:rPr>
          <w:rFonts w:ascii="Times New Roman" w:hAnsi="Times New Roman"/>
        </w:rPr>
        <w:t>ecent</w:t>
      </w:r>
      <w:r w:rsidR="00D22B1F" w:rsidRPr="00755B7D">
        <w:rPr>
          <w:rFonts w:ascii="Times New Roman" w:hAnsi="Times New Roman"/>
        </w:rPr>
        <w:t>ly</w:t>
      </w:r>
      <w:r w:rsidR="003F111E">
        <w:rPr>
          <w:rFonts w:ascii="Times New Roman" w:hAnsi="Times New Roman"/>
        </w:rPr>
        <w:t xml:space="preserve"> publish</w:t>
      </w:r>
      <w:r w:rsidR="00EA5C5E">
        <w:rPr>
          <w:rFonts w:ascii="Times New Roman" w:hAnsi="Times New Roman"/>
        </w:rPr>
        <w:t>ed</w:t>
      </w:r>
      <w:r w:rsidR="003F111E">
        <w:rPr>
          <w:rFonts w:ascii="Times New Roman" w:hAnsi="Times New Roman"/>
        </w:rPr>
        <w:t xml:space="preserve"> </w:t>
      </w:r>
      <w:r w:rsidR="007214FC" w:rsidRPr="00755B7D">
        <w:rPr>
          <w:rFonts w:ascii="Times New Roman" w:hAnsi="Times New Roman"/>
        </w:rPr>
        <w:t xml:space="preserve">International Code of Conduct for Private Security </w:t>
      </w:r>
      <w:r w:rsidR="00206860">
        <w:rPr>
          <w:rFonts w:ascii="Times New Roman" w:hAnsi="Times New Roman"/>
        </w:rPr>
        <w:t xml:space="preserve">Service </w:t>
      </w:r>
      <w:r w:rsidR="007214FC" w:rsidRPr="00755B7D">
        <w:rPr>
          <w:rFonts w:ascii="Times New Roman" w:hAnsi="Times New Roman"/>
        </w:rPr>
        <w:t xml:space="preserve">Providers (ICoC) </w:t>
      </w:r>
      <w:r w:rsidR="00943F89" w:rsidRPr="00755B7D">
        <w:rPr>
          <w:rFonts w:ascii="Times New Roman" w:hAnsi="Times New Roman"/>
        </w:rPr>
        <w:t xml:space="preserve">requires participating companies to adhere to approved RUF and describes principles to be observed in developing such rules. </w:t>
      </w:r>
      <w:r w:rsidR="00943F89">
        <w:rPr>
          <w:rFonts w:ascii="Times New Roman" w:hAnsi="Times New Roman"/>
        </w:rPr>
        <w:t xml:space="preserve">The ICoC is </w:t>
      </w:r>
      <w:r w:rsidR="00943F89" w:rsidRPr="00755B7D">
        <w:rPr>
          <w:rFonts w:ascii="Times New Roman" w:hAnsi="Times New Roman"/>
        </w:rPr>
        <w:t xml:space="preserve">an industry-led, government-supported </w:t>
      </w:r>
      <w:r w:rsidR="00943F89">
        <w:rPr>
          <w:rFonts w:ascii="Times New Roman" w:hAnsi="Times New Roman"/>
        </w:rPr>
        <w:t>document published by the Swiss Government and endorsed by more than 50 major international private security providers.</w:t>
      </w:r>
      <w:r w:rsidR="003F111E">
        <w:rPr>
          <w:rFonts w:ascii="Times New Roman" w:hAnsi="Times New Roman"/>
        </w:rPr>
        <w:t xml:space="preserve"> </w:t>
      </w:r>
      <w:r w:rsidR="00D22B1F" w:rsidRPr="00755B7D">
        <w:rPr>
          <w:rFonts w:ascii="Times New Roman" w:hAnsi="Times New Roman"/>
        </w:rPr>
        <w:t>The</w:t>
      </w:r>
      <w:r w:rsidR="007214FC" w:rsidRPr="00755B7D">
        <w:rPr>
          <w:rFonts w:ascii="Times New Roman" w:hAnsi="Times New Roman"/>
        </w:rPr>
        <w:t xml:space="preserve"> ICoC is an interim step in the application of </w:t>
      </w:r>
      <w:r w:rsidR="007214FC" w:rsidRPr="00755B7D">
        <w:rPr>
          <w:rFonts w:ascii="Times New Roman" w:hAnsi="Times New Roman"/>
          <w:i/>
        </w:rPr>
        <w:t>The Montreux Document on pertinent international obligations and good practices for States related to operations of private military and security companies during armed conflict</w:t>
      </w:r>
      <w:r w:rsidR="00EA5C5E">
        <w:rPr>
          <w:rFonts w:ascii="Times New Roman" w:hAnsi="Times New Roman"/>
          <w:i/>
        </w:rPr>
        <w:t xml:space="preserve"> </w:t>
      </w:r>
      <w:r w:rsidR="00EA5C5E">
        <w:rPr>
          <w:rFonts w:ascii="Times New Roman" w:hAnsi="Times New Roman"/>
        </w:rPr>
        <w:t>(hereinafter, the “Montreux Document”)</w:t>
      </w:r>
      <w:r w:rsidR="003F111E">
        <w:rPr>
          <w:rFonts w:ascii="Times New Roman" w:hAnsi="Times New Roman"/>
        </w:rPr>
        <w:t>.</w:t>
      </w:r>
      <w:r w:rsidR="000F21D4">
        <w:rPr>
          <w:rStyle w:val="FootnoteReference"/>
          <w:rFonts w:ascii="Times New Roman" w:hAnsi="Times New Roman"/>
        </w:rPr>
        <w:footnoteReference w:id="2"/>
      </w:r>
      <w:r w:rsidR="003F111E">
        <w:rPr>
          <w:rFonts w:ascii="Times New Roman" w:hAnsi="Times New Roman"/>
        </w:rPr>
        <w:t xml:space="preserve"> The</w:t>
      </w:r>
      <w:r w:rsidR="007214FC" w:rsidRPr="00755B7D">
        <w:rPr>
          <w:rFonts w:ascii="Times New Roman" w:hAnsi="Times New Roman"/>
        </w:rPr>
        <w:t xml:space="preserve"> </w:t>
      </w:r>
      <w:r w:rsidR="00206860">
        <w:rPr>
          <w:rFonts w:ascii="Times New Roman" w:hAnsi="Times New Roman"/>
        </w:rPr>
        <w:t>Montreux Document</w:t>
      </w:r>
      <w:r w:rsidR="007214FC" w:rsidRPr="00755B7D">
        <w:rPr>
          <w:rFonts w:ascii="Times New Roman" w:hAnsi="Times New Roman"/>
        </w:rPr>
        <w:t xml:space="preserve">, </w:t>
      </w:r>
      <w:r w:rsidR="00477B8B" w:rsidRPr="00755B7D">
        <w:rPr>
          <w:rFonts w:ascii="Times New Roman" w:hAnsi="Times New Roman"/>
        </w:rPr>
        <w:t xml:space="preserve">an initiative co-sponsored by the Swiss Government and the International Committee of the Red Cross (ICRC), </w:t>
      </w:r>
      <w:r w:rsidR="007214FC" w:rsidRPr="00755B7D">
        <w:rPr>
          <w:rFonts w:ascii="Times New Roman" w:hAnsi="Times New Roman"/>
        </w:rPr>
        <w:t>with</w:t>
      </w:r>
      <w:r w:rsidR="005137CB" w:rsidRPr="00755B7D">
        <w:rPr>
          <w:rFonts w:ascii="Times New Roman" w:hAnsi="Times New Roman"/>
        </w:rPr>
        <w:t xml:space="preserve"> 35 </w:t>
      </w:r>
      <w:r w:rsidR="007214FC" w:rsidRPr="00755B7D">
        <w:rPr>
          <w:rFonts w:ascii="Times New Roman" w:hAnsi="Times New Roman"/>
        </w:rPr>
        <w:t xml:space="preserve">endorsing </w:t>
      </w:r>
      <w:r w:rsidR="005137CB" w:rsidRPr="00755B7D">
        <w:rPr>
          <w:rFonts w:ascii="Times New Roman" w:hAnsi="Times New Roman"/>
        </w:rPr>
        <w:t>States</w:t>
      </w:r>
      <w:r w:rsidR="00D22B1F" w:rsidRPr="00755B7D">
        <w:rPr>
          <w:rFonts w:ascii="Times New Roman" w:hAnsi="Times New Roman"/>
        </w:rPr>
        <w:t>, established</w:t>
      </w:r>
      <w:r w:rsidR="007214FC" w:rsidRPr="00755B7D">
        <w:rPr>
          <w:rFonts w:ascii="Times New Roman" w:hAnsi="Times New Roman"/>
        </w:rPr>
        <w:t xml:space="preserve"> </w:t>
      </w:r>
      <w:r w:rsidR="00D22B1F" w:rsidRPr="00755B7D">
        <w:rPr>
          <w:rFonts w:ascii="Times New Roman" w:hAnsi="Times New Roman"/>
        </w:rPr>
        <w:t>a</w:t>
      </w:r>
      <w:r w:rsidR="007214FC" w:rsidRPr="00755B7D">
        <w:rPr>
          <w:rFonts w:ascii="Times New Roman" w:hAnsi="Times New Roman"/>
        </w:rPr>
        <w:t xml:space="preserve"> framework for responsible use of private security services.</w:t>
      </w:r>
      <w:r w:rsidR="007977D2" w:rsidRPr="00755B7D">
        <w:rPr>
          <w:rFonts w:ascii="Times New Roman" w:hAnsi="Times New Roman"/>
        </w:rPr>
        <w:t xml:space="preserve"> The</w:t>
      </w:r>
      <w:r w:rsidR="00477B8B" w:rsidRPr="00755B7D">
        <w:rPr>
          <w:rFonts w:ascii="Times New Roman" w:hAnsi="Times New Roman"/>
        </w:rPr>
        <w:t xml:space="preserve"> principles</w:t>
      </w:r>
      <w:r w:rsidR="00D22B1F" w:rsidRPr="00755B7D">
        <w:rPr>
          <w:rFonts w:ascii="Times New Roman" w:hAnsi="Times New Roman"/>
        </w:rPr>
        <w:t xml:space="preserve"> described in the ICoC and the Montreux Document</w:t>
      </w:r>
      <w:r w:rsidR="00477B8B" w:rsidRPr="00755B7D">
        <w:rPr>
          <w:rFonts w:ascii="Times New Roman" w:hAnsi="Times New Roman"/>
        </w:rPr>
        <w:t xml:space="preserve"> are consistent with current U.S. policies on civilian use of deadly force</w:t>
      </w:r>
      <w:r w:rsidR="005137CB" w:rsidRPr="00755B7D">
        <w:rPr>
          <w:rFonts w:ascii="Times New Roman" w:hAnsi="Times New Roman"/>
        </w:rPr>
        <w:t xml:space="preserve"> and exis</w:t>
      </w:r>
      <w:r w:rsidR="00943F89">
        <w:rPr>
          <w:rFonts w:ascii="Times New Roman" w:hAnsi="Times New Roman"/>
        </w:rPr>
        <w:t>ting RUF published by the U.S. G</w:t>
      </w:r>
      <w:r w:rsidR="005137CB" w:rsidRPr="00755B7D">
        <w:rPr>
          <w:rFonts w:ascii="Times New Roman" w:hAnsi="Times New Roman"/>
        </w:rPr>
        <w:t>overnment for use by contract security personnel</w:t>
      </w:r>
      <w:r w:rsidR="00963667" w:rsidRPr="00755B7D">
        <w:rPr>
          <w:rFonts w:ascii="Times New Roman" w:hAnsi="Times New Roman"/>
        </w:rPr>
        <w:t>.</w:t>
      </w:r>
    </w:p>
    <w:p w:rsidR="00477B8B" w:rsidRPr="00755B7D" w:rsidRDefault="00477B8B" w:rsidP="00755B7D">
      <w:pPr>
        <w:tabs>
          <w:tab w:val="left" w:pos="360"/>
        </w:tabs>
        <w:rPr>
          <w:rFonts w:ascii="Times New Roman" w:eastAsia="Calibri" w:hAnsi="Times New Roman"/>
        </w:rPr>
      </w:pPr>
    </w:p>
    <w:p w:rsidR="00477B8B" w:rsidRPr="00755B7D" w:rsidRDefault="00755B7D" w:rsidP="00755B7D">
      <w:pPr>
        <w:tabs>
          <w:tab w:val="left" w:pos="360"/>
        </w:tabs>
        <w:rPr>
          <w:rFonts w:ascii="Times New Roman" w:eastAsia="Calibri" w:hAnsi="Times New Roman"/>
        </w:rPr>
      </w:pPr>
      <w:r>
        <w:rPr>
          <w:rFonts w:ascii="Times New Roman" w:eastAsia="Calibri" w:hAnsi="Times New Roman"/>
        </w:rPr>
        <w:tab/>
      </w:r>
      <w:r w:rsidR="007977D2" w:rsidRPr="00755B7D">
        <w:rPr>
          <w:rFonts w:ascii="Times New Roman" w:eastAsia="Calibri" w:hAnsi="Times New Roman"/>
        </w:rPr>
        <w:t>The ICoC describes the following minimum requirements for RUF:</w:t>
      </w:r>
      <w:r w:rsidR="00477B8B" w:rsidRPr="00755B7D">
        <w:rPr>
          <w:rFonts w:ascii="Times New Roman" w:eastAsia="Calibri" w:hAnsi="Times New Roman"/>
        </w:rPr>
        <w:t xml:space="preserve"> </w:t>
      </w:r>
      <w:r w:rsidR="00F04F3E">
        <w:rPr>
          <w:rStyle w:val="FootnoteReference"/>
          <w:rFonts w:ascii="Times New Roman" w:eastAsia="Calibri" w:hAnsi="Times New Roman"/>
        </w:rPr>
        <w:footnoteReference w:id="3"/>
      </w:r>
    </w:p>
    <w:p w:rsidR="00477B8B" w:rsidRPr="00755B7D" w:rsidRDefault="00477B8B" w:rsidP="00755B7D">
      <w:pPr>
        <w:tabs>
          <w:tab w:val="left" w:pos="360"/>
        </w:tabs>
        <w:rPr>
          <w:rFonts w:ascii="Times New Roman" w:hAnsi="Times New Roman"/>
        </w:rPr>
      </w:pPr>
    </w:p>
    <w:p w:rsidR="00477B8B" w:rsidRPr="00755B7D" w:rsidRDefault="00477B8B" w:rsidP="00755B7D">
      <w:pPr>
        <w:pStyle w:val="ListParagraph"/>
        <w:numPr>
          <w:ilvl w:val="0"/>
          <w:numId w:val="2"/>
        </w:numPr>
        <w:tabs>
          <w:tab w:val="left" w:pos="360"/>
        </w:tabs>
        <w:rPr>
          <w:rFonts w:ascii="Times New Roman" w:eastAsia="Calibri" w:hAnsi="Times New Roman"/>
        </w:rPr>
      </w:pPr>
      <w:r w:rsidRPr="00755B7D">
        <w:rPr>
          <w:rFonts w:ascii="Times New Roman" w:eastAsia="Calibri" w:hAnsi="Times New Roman"/>
        </w:rPr>
        <w:t>to take all reasonable steps to avoid the use of force</w:t>
      </w:r>
      <w:r w:rsidR="00F00258">
        <w:rPr>
          <w:rFonts w:ascii="Times New Roman" w:eastAsia="Calibri" w:hAnsi="Times New Roman"/>
        </w:rPr>
        <w:t>;</w:t>
      </w:r>
      <w:r w:rsidRPr="00755B7D">
        <w:rPr>
          <w:rFonts w:ascii="Times New Roman" w:eastAsia="Calibri" w:hAnsi="Times New Roman"/>
        </w:rPr>
        <w:t xml:space="preserve"> </w:t>
      </w:r>
    </w:p>
    <w:p w:rsidR="00477B8B" w:rsidRPr="00755B7D" w:rsidRDefault="00477B8B" w:rsidP="00755B7D">
      <w:pPr>
        <w:tabs>
          <w:tab w:val="left" w:pos="360"/>
        </w:tabs>
        <w:rPr>
          <w:rFonts w:ascii="Times New Roman" w:eastAsia="Calibri" w:hAnsi="Times New Roman"/>
        </w:rPr>
      </w:pPr>
    </w:p>
    <w:p w:rsidR="00477B8B" w:rsidRPr="00755B7D" w:rsidRDefault="00477B8B" w:rsidP="00755B7D">
      <w:pPr>
        <w:pStyle w:val="ListParagraph"/>
        <w:numPr>
          <w:ilvl w:val="0"/>
          <w:numId w:val="2"/>
        </w:numPr>
        <w:tabs>
          <w:tab w:val="left" w:pos="360"/>
        </w:tabs>
        <w:rPr>
          <w:rFonts w:ascii="Times New Roman" w:eastAsia="Calibri" w:hAnsi="Times New Roman"/>
        </w:rPr>
      </w:pPr>
      <w:r w:rsidRPr="00755B7D">
        <w:rPr>
          <w:rFonts w:ascii="Times New Roman" w:eastAsia="Calibri" w:hAnsi="Times New Roman"/>
        </w:rPr>
        <w:t>to use force  in a manner consistent with applicable law, not to exceed the force that is strictly necessary, proportionate to the threat and appropriate to the situation</w:t>
      </w:r>
      <w:r w:rsidR="00F00258">
        <w:rPr>
          <w:rFonts w:ascii="Times New Roman" w:eastAsia="Calibri" w:hAnsi="Times New Roman"/>
        </w:rPr>
        <w:t>; and</w:t>
      </w:r>
    </w:p>
    <w:p w:rsidR="00477B8B" w:rsidRPr="00755B7D" w:rsidRDefault="00477B8B" w:rsidP="00755B7D">
      <w:pPr>
        <w:tabs>
          <w:tab w:val="left" w:pos="360"/>
        </w:tabs>
        <w:rPr>
          <w:rFonts w:ascii="Times New Roman" w:eastAsia="Calibri" w:hAnsi="Times New Roman"/>
        </w:rPr>
      </w:pPr>
    </w:p>
    <w:p w:rsidR="00477B8B" w:rsidRPr="00755B7D" w:rsidRDefault="00477B8B" w:rsidP="00755B7D">
      <w:pPr>
        <w:pStyle w:val="ListParagraph"/>
        <w:numPr>
          <w:ilvl w:val="0"/>
          <w:numId w:val="2"/>
        </w:numPr>
        <w:tabs>
          <w:tab w:val="left" w:pos="360"/>
        </w:tabs>
        <w:rPr>
          <w:rFonts w:ascii="Times New Roman" w:eastAsia="Calibri" w:hAnsi="Times New Roman"/>
        </w:rPr>
      </w:pPr>
      <w:r w:rsidRPr="00755B7D">
        <w:rPr>
          <w:rFonts w:ascii="Times New Roman" w:eastAsia="Calibri" w:hAnsi="Times New Roman"/>
        </w:rPr>
        <w:t>not to use firearms against persons exc</w:t>
      </w:r>
      <w:r w:rsidR="00963667" w:rsidRPr="00755B7D">
        <w:rPr>
          <w:rFonts w:ascii="Times New Roman" w:eastAsia="Calibri" w:hAnsi="Times New Roman"/>
        </w:rPr>
        <w:t>ept in self-defense or defens</w:t>
      </w:r>
      <w:r w:rsidRPr="00755B7D">
        <w:rPr>
          <w:rFonts w:ascii="Times New Roman" w:eastAsia="Calibri" w:hAnsi="Times New Roman"/>
        </w:rPr>
        <w:t>e of others against the imminent threat of death or serious injury, or to prevent the perpetration of a particularly serious crime involving grave threat to life</w:t>
      </w:r>
      <w:r w:rsidR="00F00258">
        <w:rPr>
          <w:rFonts w:ascii="Times New Roman" w:eastAsia="Calibri" w:hAnsi="Times New Roman"/>
        </w:rPr>
        <w:t>.</w:t>
      </w:r>
      <w:r w:rsidRPr="00755B7D">
        <w:rPr>
          <w:rFonts w:ascii="Times New Roman" w:eastAsia="Calibri" w:hAnsi="Times New Roman"/>
        </w:rPr>
        <w:t xml:space="preserve">  </w:t>
      </w:r>
    </w:p>
    <w:p w:rsidR="00477B8B" w:rsidRPr="00755B7D" w:rsidRDefault="00477B8B" w:rsidP="00755B7D">
      <w:pPr>
        <w:tabs>
          <w:tab w:val="left" w:pos="360"/>
        </w:tabs>
        <w:rPr>
          <w:rFonts w:ascii="Times New Roman" w:hAnsi="Times New Roman"/>
        </w:rPr>
      </w:pPr>
    </w:p>
    <w:p w:rsidR="00206860" w:rsidRPr="00755B7D" w:rsidRDefault="00755B7D" w:rsidP="00755B7D">
      <w:pPr>
        <w:tabs>
          <w:tab w:val="left" w:pos="360"/>
        </w:tabs>
        <w:rPr>
          <w:rFonts w:ascii="Times New Roman" w:hAnsi="Times New Roman"/>
        </w:rPr>
      </w:pPr>
      <w:r>
        <w:rPr>
          <w:rFonts w:ascii="Times New Roman" w:hAnsi="Times New Roman"/>
        </w:rPr>
        <w:tab/>
      </w:r>
      <w:r w:rsidR="007977D2" w:rsidRPr="00755B7D">
        <w:rPr>
          <w:rFonts w:ascii="Times New Roman" w:hAnsi="Times New Roman"/>
        </w:rPr>
        <w:t>The</w:t>
      </w:r>
      <w:r w:rsidR="00943F89">
        <w:rPr>
          <w:rFonts w:ascii="Times New Roman" w:hAnsi="Times New Roman"/>
        </w:rPr>
        <w:t xml:space="preserve">se </w:t>
      </w:r>
      <w:r w:rsidR="007977D2" w:rsidRPr="00755B7D">
        <w:rPr>
          <w:rFonts w:ascii="Times New Roman" w:hAnsi="Times New Roman"/>
        </w:rPr>
        <w:t>requirements</w:t>
      </w:r>
      <w:r w:rsidR="00477B8B" w:rsidRPr="00755B7D">
        <w:rPr>
          <w:rFonts w:ascii="Times New Roman" w:hAnsi="Times New Roman"/>
        </w:rPr>
        <w:t xml:space="preserve"> are consistent with current U.S. policy for security personnel, including contractors. </w:t>
      </w:r>
      <w:r w:rsidR="00943F89">
        <w:rPr>
          <w:rFonts w:ascii="Times New Roman" w:hAnsi="Times New Roman"/>
        </w:rPr>
        <w:t>A</w:t>
      </w:r>
      <w:r w:rsidR="00477B8B" w:rsidRPr="00755B7D">
        <w:rPr>
          <w:rFonts w:ascii="Times New Roman" w:hAnsi="Times New Roman"/>
        </w:rPr>
        <w:t>rmed private security providers are civilians under international law</w:t>
      </w:r>
      <w:r w:rsidR="00F00258">
        <w:rPr>
          <w:rFonts w:ascii="Times New Roman" w:hAnsi="Times New Roman"/>
        </w:rPr>
        <w:t>,</w:t>
      </w:r>
      <w:r w:rsidR="00477B8B" w:rsidRPr="00755B7D">
        <w:rPr>
          <w:rFonts w:ascii="Times New Roman" w:hAnsi="Times New Roman"/>
        </w:rPr>
        <w:t xml:space="preserve"> and </w:t>
      </w:r>
      <w:r w:rsidR="00943F89">
        <w:rPr>
          <w:rFonts w:ascii="Times New Roman" w:hAnsi="Times New Roman"/>
        </w:rPr>
        <w:t>the</w:t>
      </w:r>
      <w:r w:rsidR="00F00258">
        <w:rPr>
          <w:rFonts w:ascii="Times New Roman" w:hAnsi="Times New Roman"/>
        </w:rPr>
        <w:t>y may</w:t>
      </w:r>
      <w:r w:rsidR="00943F89">
        <w:rPr>
          <w:rFonts w:ascii="Times New Roman" w:hAnsi="Times New Roman"/>
        </w:rPr>
        <w:t xml:space="preserve"> </w:t>
      </w:r>
      <w:r w:rsidR="00477B8B" w:rsidRPr="00755B7D">
        <w:rPr>
          <w:rFonts w:ascii="Times New Roman" w:hAnsi="Times New Roman"/>
        </w:rPr>
        <w:t xml:space="preserve">use force </w:t>
      </w:r>
      <w:r w:rsidR="00F00258">
        <w:rPr>
          <w:rFonts w:ascii="Times New Roman" w:hAnsi="Times New Roman"/>
        </w:rPr>
        <w:t xml:space="preserve">when </w:t>
      </w:r>
      <w:r w:rsidR="00477B8B" w:rsidRPr="00755B7D">
        <w:rPr>
          <w:rFonts w:ascii="Times New Roman" w:hAnsi="Times New Roman"/>
        </w:rPr>
        <w:t>exercis</w:t>
      </w:r>
      <w:r w:rsidR="00F00258">
        <w:rPr>
          <w:rFonts w:ascii="Times New Roman" w:hAnsi="Times New Roman"/>
        </w:rPr>
        <w:t>ing</w:t>
      </w:r>
      <w:r w:rsidR="00477B8B" w:rsidRPr="00755B7D">
        <w:rPr>
          <w:rFonts w:ascii="Times New Roman" w:hAnsi="Times New Roman"/>
        </w:rPr>
        <w:t xml:space="preserve"> the inherent right </w:t>
      </w:r>
      <w:r w:rsidR="00F63A63">
        <w:rPr>
          <w:rFonts w:ascii="Times New Roman" w:hAnsi="Times New Roman"/>
        </w:rPr>
        <w:t>of</w:t>
      </w:r>
      <w:r w:rsidR="00477B8B" w:rsidRPr="00755B7D">
        <w:rPr>
          <w:rFonts w:ascii="Times New Roman" w:hAnsi="Times New Roman"/>
        </w:rPr>
        <w:t xml:space="preserve"> self</w:t>
      </w:r>
      <w:r w:rsidR="00FF23AF">
        <w:rPr>
          <w:rFonts w:ascii="Times New Roman" w:hAnsi="Times New Roman"/>
        </w:rPr>
        <w:t>-</w:t>
      </w:r>
      <w:r w:rsidR="00477B8B" w:rsidRPr="00755B7D">
        <w:rPr>
          <w:rFonts w:ascii="Times New Roman" w:hAnsi="Times New Roman"/>
        </w:rPr>
        <w:t xml:space="preserve">defense.  </w:t>
      </w:r>
      <w:r w:rsidR="00F00258">
        <w:rPr>
          <w:rFonts w:ascii="Times New Roman" w:hAnsi="Times New Roman"/>
        </w:rPr>
        <w:t>Department of Defense Directive 5210.56</w:t>
      </w:r>
      <w:r w:rsidR="00FF23AF">
        <w:rPr>
          <w:rFonts w:ascii="Times New Roman" w:hAnsi="Times New Roman"/>
        </w:rPr>
        <w:t>, “Carrying of Firearms, Non-Lethal Weapons, and the Use of Force by DoD Personnel Engaged in Security, Law and Order, or Counterintelligence Activities,”</w:t>
      </w:r>
      <w:r w:rsidR="00F00258">
        <w:rPr>
          <w:rFonts w:ascii="Times New Roman" w:hAnsi="Times New Roman"/>
        </w:rPr>
        <w:t xml:space="preserve"> provides that deadly force may be used in</w:t>
      </w:r>
      <w:r w:rsidR="00963667" w:rsidRPr="00755B7D">
        <w:rPr>
          <w:rFonts w:ascii="Times New Roman" w:hAnsi="Times New Roman"/>
        </w:rPr>
        <w:t xml:space="preserve"> self-defense </w:t>
      </w:r>
      <w:r w:rsidR="00F63A63">
        <w:rPr>
          <w:rFonts w:ascii="Times New Roman" w:hAnsi="Times New Roman"/>
        </w:rPr>
        <w:t>“</w:t>
      </w:r>
      <w:r w:rsidR="00FF23AF">
        <w:rPr>
          <w:rFonts w:ascii="Times New Roman" w:hAnsi="Times New Roman"/>
        </w:rPr>
        <w:t>[</w:t>
      </w:r>
      <w:r w:rsidR="00F00258">
        <w:rPr>
          <w:rFonts w:ascii="Times New Roman" w:hAnsi="Times New Roman"/>
        </w:rPr>
        <w:t>w</w:t>
      </w:r>
      <w:r w:rsidR="00FF23AF">
        <w:rPr>
          <w:rFonts w:ascii="Times New Roman" w:hAnsi="Times New Roman"/>
        </w:rPr>
        <w:t>]</w:t>
      </w:r>
      <w:r w:rsidR="00F00258">
        <w:rPr>
          <w:rFonts w:ascii="Times New Roman" w:hAnsi="Times New Roman"/>
        </w:rPr>
        <w:t>hen there is</w:t>
      </w:r>
      <w:r w:rsidR="00963667" w:rsidRPr="00755B7D">
        <w:rPr>
          <w:rFonts w:ascii="Times New Roman" w:hAnsi="Times New Roman"/>
        </w:rPr>
        <w:t xml:space="preserve"> reasonable belief that a person</w:t>
      </w:r>
      <w:r w:rsidR="00F63A63">
        <w:rPr>
          <w:rFonts w:ascii="Times New Roman" w:hAnsi="Times New Roman"/>
        </w:rPr>
        <w:t>(s)</w:t>
      </w:r>
      <w:r w:rsidR="00963667" w:rsidRPr="00755B7D">
        <w:rPr>
          <w:rFonts w:ascii="Times New Roman" w:hAnsi="Times New Roman"/>
        </w:rPr>
        <w:t xml:space="preserve"> poses an imminent threat of death or serious bodily harm</w:t>
      </w:r>
      <w:r w:rsidR="00F63A63">
        <w:rPr>
          <w:rFonts w:ascii="Times New Roman" w:hAnsi="Times New Roman"/>
        </w:rPr>
        <w:t>”</w:t>
      </w:r>
      <w:r w:rsidR="00963667" w:rsidRPr="00755B7D">
        <w:rPr>
          <w:rFonts w:ascii="Times New Roman" w:hAnsi="Times New Roman"/>
        </w:rPr>
        <w:t xml:space="preserve"> to the individual or </w:t>
      </w:r>
      <w:r w:rsidR="00F63A63">
        <w:rPr>
          <w:rFonts w:ascii="Times New Roman" w:hAnsi="Times New Roman"/>
        </w:rPr>
        <w:t>“</w:t>
      </w:r>
      <w:r w:rsidR="00F00258">
        <w:rPr>
          <w:rFonts w:ascii="Times New Roman" w:hAnsi="Times New Roman"/>
        </w:rPr>
        <w:t xml:space="preserve">other </w:t>
      </w:r>
      <w:r w:rsidR="00F63A63">
        <w:rPr>
          <w:rFonts w:ascii="Times New Roman" w:hAnsi="Times New Roman"/>
        </w:rPr>
        <w:t xml:space="preserve">DoD </w:t>
      </w:r>
      <w:r w:rsidR="00963667" w:rsidRPr="00755B7D">
        <w:rPr>
          <w:rFonts w:ascii="Times New Roman" w:hAnsi="Times New Roman"/>
        </w:rPr>
        <w:t>persons in the vicinity</w:t>
      </w:r>
      <w:r w:rsidR="00F63A63">
        <w:rPr>
          <w:rFonts w:ascii="Times New Roman" w:hAnsi="Times New Roman"/>
        </w:rPr>
        <w:t>,” or to “non-DoD persons in the vicinity when directly related to the assigned activity or mission</w:t>
      </w:r>
      <w:r w:rsidR="001310CF">
        <w:rPr>
          <w:rFonts w:ascii="Times New Roman" w:hAnsi="Times New Roman"/>
        </w:rPr>
        <w:t>.</w:t>
      </w:r>
      <w:r w:rsidR="00F63A63">
        <w:rPr>
          <w:rFonts w:ascii="Times New Roman" w:hAnsi="Times New Roman"/>
        </w:rPr>
        <w:t>”</w:t>
      </w:r>
      <w:r w:rsidR="00206860" w:rsidRPr="00755B7D">
        <w:rPr>
          <w:rStyle w:val="FootnoteReference"/>
          <w:rFonts w:ascii="Times New Roman" w:hAnsi="Times New Roman"/>
        </w:rPr>
        <w:footnoteReference w:id="4"/>
      </w:r>
      <w:r w:rsidR="00206860" w:rsidRPr="00755B7D">
        <w:rPr>
          <w:rFonts w:ascii="Times New Roman" w:hAnsi="Times New Roman"/>
        </w:rPr>
        <w:t xml:space="preserve">  For contract security providers, self-defense </w:t>
      </w:r>
      <w:r w:rsidR="00677153">
        <w:rPr>
          <w:rFonts w:ascii="Times New Roman" w:hAnsi="Times New Roman"/>
        </w:rPr>
        <w:t>actions may be conducted on behalf of</w:t>
      </w:r>
      <w:r w:rsidR="00206860" w:rsidRPr="00755B7D">
        <w:rPr>
          <w:rFonts w:ascii="Times New Roman" w:hAnsi="Times New Roman"/>
        </w:rPr>
        <w:t xml:space="preserve"> persons specified under the terms of the contract</w:t>
      </w:r>
      <w:r w:rsidR="00206860" w:rsidRPr="00755B7D">
        <w:rPr>
          <w:rStyle w:val="FootnoteReference"/>
          <w:rFonts w:ascii="Times New Roman" w:hAnsi="Times New Roman"/>
        </w:rPr>
        <w:footnoteReference w:id="5"/>
      </w:r>
      <w:r w:rsidR="00206860" w:rsidRPr="00755B7D">
        <w:rPr>
          <w:rFonts w:ascii="Times New Roman" w:hAnsi="Times New Roman"/>
        </w:rPr>
        <w:t xml:space="preserve"> and in defense of other persons facing imminent threat of death or serious bodily harm such as murder, armed robbery, or aggravated assault.</w:t>
      </w:r>
      <w:r w:rsidR="00206860" w:rsidRPr="00755B7D">
        <w:rPr>
          <w:rStyle w:val="FootnoteReference"/>
          <w:rFonts w:ascii="Times New Roman" w:hAnsi="Times New Roman"/>
        </w:rPr>
        <w:footnoteReference w:id="6"/>
      </w:r>
    </w:p>
    <w:p w:rsidR="00206860" w:rsidRPr="00755B7D" w:rsidRDefault="00206860" w:rsidP="00755B7D">
      <w:pPr>
        <w:tabs>
          <w:tab w:val="left" w:pos="360"/>
        </w:tabs>
        <w:rPr>
          <w:rFonts w:ascii="Times New Roman" w:hAnsi="Times New Roman"/>
        </w:rPr>
      </w:pPr>
    </w:p>
    <w:p w:rsidR="00206860" w:rsidRPr="00755B7D" w:rsidRDefault="00206860" w:rsidP="00755B7D">
      <w:pPr>
        <w:tabs>
          <w:tab w:val="left" w:pos="360"/>
        </w:tabs>
        <w:rPr>
          <w:rFonts w:ascii="Times New Roman" w:hAnsi="Times New Roman"/>
        </w:rPr>
      </w:pPr>
      <w:r>
        <w:rPr>
          <w:rFonts w:ascii="Times New Roman" w:hAnsi="Times New Roman"/>
        </w:rPr>
        <w:tab/>
      </w:r>
      <w:r w:rsidRPr="00755B7D">
        <w:rPr>
          <w:rFonts w:ascii="Times New Roman" w:hAnsi="Times New Roman"/>
        </w:rPr>
        <w:t xml:space="preserve">The defense of others </w:t>
      </w:r>
      <w:r w:rsidR="001439DE">
        <w:rPr>
          <w:rFonts w:ascii="Times New Roman" w:hAnsi="Times New Roman"/>
        </w:rPr>
        <w:t xml:space="preserve">may </w:t>
      </w:r>
      <w:r w:rsidRPr="00755B7D">
        <w:rPr>
          <w:rFonts w:ascii="Times New Roman" w:hAnsi="Times New Roman"/>
        </w:rPr>
        <w:t xml:space="preserve">also include the use of force, up to and including </w:t>
      </w:r>
      <w:r w:rsidR="002C3B02">
        <w:rPr>
          <w:rFonts w:ascii="Times New Roman" w:hAnsi="Times New Roman"/>
        </w:rPr>
        <w:t xml:space="preserve">deadly </w:t>
      </w:r>
      <w:r w:rsidRPr="00755B7D">
        <w:rPr>
          <w:rFonts w:ascii="Times New Roman" w:hAnsi="Times New Roman"/>
        </w:rPr>
        <w:t>force, to protect inherently dangerous property</w:t>
      </w:r>
      <w:r w:rsidR="00677153">
        <w:rPr>
          <w:rFonts w:ascii="Times New Roman" w:hAnsi="Times New Roman"/>
        </w:rPr>
        <w:t xml:space="preserve"> from theft or sabotage</w:t>
      </w:r>
      <w:r w:rsidRPr="00755B7D">
        <w:rPr>
          <w:rFonts w:ascii="Times New Roman" w:hAnsi="Times New Roman"/>
        </w:rPr>
        <w:t>.  This is property that could create an imminent threat of death or serious bodily harm</w:t>
      </w:r>
      <w:r w:rsidR="00677153">
        <w:rPr>
          <w:rFonts w:ascii="Times New Roman" w:hAnsi="Times New Roman"/>
        </w:rPr>
        <w:t xml:space="preserve"> in the possession of an unauthorized individual</w:t>
      </w:r>
      <w:r w:rsidRPr="00755B7D">
        <w:rPr>
          <w:rFonts w:ascii="Times New Roman" w:hAnsi="Times New Roman"/>
        </w:rPr>
        <w:t>.</w:t>
      </w:r>
      <w:r>
        <w:rPr>
          <w:rStyle w:val="FootnoteReference"/>
          <w:rFonts w:ascii="Times New Roman" w:hAnsi="Times New Roman"/>
        </w:rPr>
        <w:footnoteReference w:id="7"/>
      </w:r>
      <w:r w:rsidRPr="00755B7D">
        <w:rPr>
          <w:rFonts w:ascii="Times New Roman" w:hAnsi="Times New Roman"/>
        </w:rPr>
        <w:t xml:space="preserve">  Under certain circumstances, as specified by </w:t>
      </w:r>
      <w:r w:rsidR="001C2A7B">
        <w:rPr>
          <w:rFonts w:ascii="Times New Roman" w:hAnsi="Times New Roman"/>
        </w:rPr>
        <w:t>appropriate</w:t>
      </w:r>
      <w:r w:rsidRPr="00755B7D">
        <w:rPr>
          <w:rFonts w:ascii="Times New Roman" w:hAnsi="Times New Roman"/>
        </w:rPr>
        <w:t xml:space="preserve"> legal authority, defense of others may include the protection of critical infrastructure vital to public health or safety, the damage to which would also create an imminent threat of death or serious bodily harm.</w:t>
      </w:r>
      <w:r w:rsidRPr="00755B7D">
        <w:rPr>
          <w:rStyle w:val="FootnoteReference"/>
          <w:rFonts w:ascii="Times New Roman" w:hAnsi="Times New Roman"/>
        </w:rPr>
        <w:footnoteReference w:id="8"/>
      </w:r>
      <w:r w:rsidR="00272CAF">
        <w:rPr>
          <w:rFonts w:ascii="Times New Roman" w:hAnsi="Times New Roman"/>
        </w:rPr>
        <w:t xml:space="preserve"> </w:t>
      </w:r>
      <w:r w:rsidR="001439DE">
        <w:rPr>
          <w:rFonts w:ascii="Times New Roman" w:hAnsi="Times New Roman"/>
        </w:rPr>
        <w:t>Generally, t</w:t>
      </w:r>
      <w:r w:rsidR="00272CAF">
        <w:rPr>
          <w:rFonts w:ascii="Times New Roman" w:hAnsi="Times New Roman"/>
        </w:rPr>
        <w:t xml:space="preserve">he use of force to protect property </w:t>
      </w:r>
      <w:r w:rsidR="001439DE">
        <w:rPr>
          <w:rFonts w:ascii="Times New Roman" w:hAnsi="Times New Roman"/>
        </w:rPr>
        <w:t>is</w:t>
      </w:r>
      <w:r w:rsidR="00272CAF">
        <w:rPr>
          <w:rFonts w:ascii="Times New Roman" w:hAnsi="Times New Roman"/>
        </w:rPr>
        <w:t xml:space="preserve"> limited to non-lethal means</w:t>
      </w:r>
      <w:r w:rsidR="001439DE">
        <w:rPr>
          <w:rFonts w:ascii="Times New Roman" w:hAnsi="Times New Roman"/>
        </w:rPr>
        <w:t>.</w:t>
      </w:r>
      <w:r w:rsidR="00272CAF">
        <w:rPr>
          <w:rFonts w:ascii="Times New Roman" w:hAnsi="Times New Roman"/>
        </w:rPr>
        <w:t xml:space="preserve"> </w:t>
      </w:r>
      <w:r w:rsidR="001439DE">
        <w:rPr>
          <w:rFonts w:ascii="Times New Roman" w:hAnsi="Times New Roman"/>
        </w:rPr>
        <w:t xml:space="preserve"> If, however, an</w:t>
      </w:r>
      <w:r w:rsidR="00272CAF">
        <w:rPr>
          <w:rFonts w:ascii="Times New Roman" w:hAnsi="Times New Roman"/>
        </w:rPr>
        <w:t xml:space="preserve"> attack against property </w:t>
      </w:r>
      <w:r w:rsidR="001439DE">
        <w:rPr>
          <w:rFonts w:ascii="Times New Roman" w:hAnsi="Times New Roman"/>
        </w:rPr>
        <w:t>results in</w:t>
      </w:r>
      <w:r w:rsidR="00272CAF">
        <w:rPr>
          <w:rFonts w:ascii="Times New Roman" w:hAnsi="Times New Roman"/>
        </w:rPr>
        <w:t xml:space="preserve"> an imminent threat of death or serious injury to the personnel charged with protecting that property</w:t>
      </w:r>
      <w:r w:rsidR="00554019">
        <w:rPr>
          <w:rFonts w:ascii="Times New Roman" w:hAnsi="Times New Roman"/>
        </w:rPr>
        <w:t xml:space="preserve"> or others in the vicinity</w:t>
      </w:r>
      <w:r w:rsidR="001439DE">
        <w:rPr>
          <w:rFonts w:ascii="Times New Roman" w:hAnsi="Times New Roman"/>
        </w:rPr>
        <w:t>, the use of deadly force to protect it may be authorized</w:t>
      </w:r>
      <w:r w:rsidR="00272CAF">
        <w:rPr>
          <w:rFonts w:ascii="Times New Roman" w:hAnsi="Times New Roman"/>
        </w:rPr>
        <w:t>.</w:t>
      </w:r>
    </w:p>
    <w:p w:rsidR="00206860" w:rsidRPr="00755B7D" w:rsidRDefault="00206860" w:rsidP="00755B7D">
      <w:pPr>
        <w:tabs>
          <w:tab w:val="left" w:pos="360"/>
        </w:tabs>
        <w:rPr>
          <w:rFonts w:ascii="Times New Roman" w:hAnsi="Times New Roman"/>
        </w:rPr>
      </w:pPr>
    </w:p>
    <w:p w:rsidR="00206860" w:rsidRPr="00755B7D" w:rsidRDefault="00206860" w:rsidP="00755B7D">
      <w:pPr>
        <w:tabs>
          <w:tab w:val="left" w:pos="360"/>
        </w:tabs>
        <w:rPr>
          <w:rFonts w:ascii="Times New Roman" w:hAnsi="Times New Roman"/>
        </w:rPr>
      </w:pPr>
      <w:r>
        <w:rPr>
          <w:rFonts w:ascii="Times New Roman" w:hAnsi="Times New Roman"/>
        </w:rPr>
        <w:tab/>
      </w:r>
      <w:r w:rsidRPr="00755B7D">
        <w:rPr>
          <w:rFonts w:ascii="Times New Roman" w:hAnsi="Times New Roman"/>
        </w:rPr>
        <w:t>Th</w:t>
      </w:r>
      <w:r w:rsidR="00677153">
        <w:rPr>
          <w:rFonts w:ascii="Times New Roman" w:hAnsi="Times New Roman"/>
        </w:rPr>
        <w:t>e</w:t>
      </w:r>
      <w:r w:rsidRPr="00755B7D">
        <w:rPr>
          <w:rFonts w:ascii="Times New Roman" w:hAnsi="Times New Roman"/>
        </w:rPr>
        <w:t xml:space="preserve"> inherent right of self-defense continues to exist in conditions of armed conflict. The use of force in response to unlawful violence does not violate the civilian status of private security service providers, even if the attackers are members of hostile armed forces. This view is consistent with the ICRC’s </w:t>
      </w:r>
      <w:r w:rsidRPr="00755B7D">
        <w:rPr>
          <w:rFonts w:ascii="Times New Roman" w:hAnsi="Times New Roman"/>
          <w:i/>
        </w:rPr>
        <w:t>Interpretive Guidance on the Notion of Dire</w:t>
      </w:r>
      <w:r w:rsidR="003F111E">
        <w:rPr>
          <w:rFonts w:ascii="Times New Roman" w:hAnsi="Times New Roman"/>
          <w:i/>
        </w:rPr>
        <w:t xml:space="preserve">ct Participation in Hostilities </w:t>
      </w:r>
      <w:r w:rsidRPr="00755B7D">
        <w:rPr>
          <w:rFonts w:ascii="Times New Roman" w:hAnsi="Times New Roman"/>
          <w:i/>
        </w:rPr>
        <w:t>Under International Humanitarian Law</w:t>
      </w:r>
      <w:r w:rsidRPr="00755B7D">
        <w:rPr>
          <w:rFonts w:ascii="Times New Roman" w:hAnsi="Times New Roman"/>
        </w:rPr>
        <w:t>.</w:t>
      </w:r>
      <w:r w:rsidRPr="00755B7D">
        <w:rPr>
          <w:rStyle w:val="FootnoteReference"/>
          <w:rFonts w:ascii="Times New Roman" w:hAnsi="Times New Roman"/>
        </w:rPr>
        <w:footnoteReference w:id="9"/>
      </w:r>
      <w:r w:rsidRPr="00755B7D">
        <w:rPr>
          <w:rFonts w:ascii="Times New Roman" w:hAnsi="Times New Roman"/>
        </w:rPr>
        <w:t xml:space="preserve"> </w:t>
      </w:r>
      <w:r w:rsidR="00D84351">
        <w:rPr>
          <w:rFonts w:ascii="Times New Roman" w:hAnsi="Times New Roman"/>
        </w:rPr>
        <w:t xml:space="preserve"> Private security service providers are civilians; in an armed conflict, they do not enjoy the combatant’s privilege provided members of military forces of a government. </w:t>
      </w:r>
      <w:r w:rsidRPr="00755B7D">
        <w:rPr>
          <w:rFonts w:ascii="Times New Roman" w:hAnsi="Times New Roman"/>
        </w:rPr>
        <w:t xml:space="preserve">To preserve the </w:t>
      </w:r>
      <w:r w:rsidR="00D84351">
        <w:rPr>
          <w:rFonts w:ascii="Times New Roman" w:hAnsi="Times New Roman"/>
        </w:rPr>
        <w:t xml:space="preserve">civilian </w:t>
      </w:r>
      <w:r w:rsidRPr="00755B7D">
        <w:rPr>
          <w:rFonts w:ascii="Times New Roman" w:hAnsi="Times New Roman"/>
        </w:rPr>
        <w:t xml:space="preserve">status of these contractors and to safeguard the human rights of the broader civilian population, application of force must be consistent with the law of the State where they are operating, U.S. law, and the </w:t>
      </w:r>
      <w:r w:rsidR="00677153">
        <w:rPr>
          <w:rFonts w:ascii="Times New Roman" w:hAnsi="Times New Roman"/>
        </w:rPr>
        <w:t xml:space="preserve">policy of the </w:t>
      </w:r>
      <w:r w:rsidRPr="00755B7D">
        <w:rPr>
          <w:rFonts w:ascii="Times New Roman" w:hAnsi="Times New Roman"/>
        </w:rPr>
        <w:t xml:space="preserve">agency </w:t>
      </w:r>
      <w:r w:rsidR="00943F89">
        <w:rPr>
          <w:rFonts w:ascii="Times New Roman" w:hAnsi="Times New Roman"/>
        </w:rPr>
        <w:t xml:space="preserve">for which </w:t>
      </w:r>
      <w:r w:rsidRPr="00755B7D">
        <w:rPr>
          <w:rFonts w:ascii="Times New Roman" w:hAnsi="Times New Roman"/>
        </w:rPr>
        <w:t>they are working</w:t>
      </w:r>
      <w:r w:rsidR="00943F89">
        <w:rPr>
          <w:rFonts w:ascii="Times New Roman" w:hAnsi="Times New Roman"/>
        </w:rPr>
        <w:t>. Well-</w:t>
      </w:r>
      <w:r w:rsidRPr="00755B7D">
        <w:rPr>
          <w:rFonts w:ascii="Times New Roman" w:hAnsi="Times New Roman"/>
        </w:rPr>
        <w:t xml:space="preserve">designed RUF, approved by competent national authorities, provide private security personnel and those employing them with the authorizations </w:t>
      </w:r>
      <w:r w:rsidR="00FF23AF">
        <w:rPr>
          <w:rFonts w:ascii="Times New Roman" w:hAnsi="Times New Roman"/>
        </w:rPr>
        <w:t xml:space="preserve">for </w:t>
      </w:r>
      <w:r w:rsidRPr="00755B7D">
        <w:rPr>
          <w:rFonts w:ascii="Times New Roman" w:hAnsi="Times New Roman"/>
        </w:rPr>
        <w:t xml:space="preserve">and limitations </w:t>
      </w:r>
      <w:r w:rsidR="00FF23AF">
        <w:rPr>
          <w:rFonts w:ascii="Times New Roman" w:hAnsi="Times New Roman"/>
        </w:rPr>
        <w:t>on</w:t>
      </w:r>
      <w:r w:rsidRPr="00755B7D">
        <w:rPr>
          <w:rFonts w:ascii="Times New Roman" w:hAnsi="Times New Roman"/>
        </w:rPr>
        <w:t xml:space="preserve"> applying that force.</w:t>
      </w:r>
    </w:p>
    <w:p w:rsidR="00206860" w:rsidRPr="00755B7D" w:rsidRDefault="00206860" w:rsidP="00755B7D">
      <w:pPr>
        <w:tabs>
          <w:tab w:val="left" w:pos="360"/>
        </w:tabs>
        <w:rPr>
          <w:rFonts w:ascii="Times New Roman" w:hAnsi="Times New Roman"/>
        </w:rPr>
      </w:pPr>
    </w:p>
    <w:p w:rsidR="00206860" w:rsidRPr="00755B7D" w:rsidRDefault="00206860" w:rsidP="00755B7D">
      <w:pPr>
        <w:tabs>
          <w:tab w:val="left" w:pos="360"/>
        </w:tabs>
        <w:rPr>
          <w:rFonts w:ascii="Times New Roman" w:hAnsi="Times New Roman"/>
        </w:rPr>
      </w:pPr>
      <w:r>
        <w:rPr>
          <w:rFonts w:ascii="Times New Roman" w:hAnsi="Times New Roman"/>
        </w:rPr>
        <w:tab/>
      </w:r>
      <w:r w:rsidRPr="00755B7D">
        <w:rPr>
          <w:rFonts w:ascii="Times New Roman" w:hAnsi="Times New Roman"/>
        </w:rPr>
        <w:t>Within the context of contingency operations, RUF differ from the more familiar rules of engagement (ROE). ROE are directives delineating the circumstances and limitations for military forces to initiate or continue combat engagement with other forces.</w:t>
      </w:r>
      <w:r w:rsidR="00162510">
        <w:rPr>
          <w:rStyle w:val="FootnoteReference"/>
          <w:rFonts w:ascii="Times New Roman" w:hAnsi="Times New Roman"/>
        </w:rPr>
        <w:footnoteReference w:id="10"/>
      </w:r>
      <w:r w:rsidRPr="00755B7D">
        <w:rPr>
          <w:rFonts w:ascii="Times New Roman" w:hAnsi="Times New Roman"/>
        </w:rPr>
        <w:t xml:space="preserve"> RUF, on the other hand, are rules for the protection of people, activity, and property from criminal activity and other violence not allowed under the laws and customs of war. U.S. policy regards the use of force as a continuum of appropriate responses to </w:t>
      </w:r>
      <w:r w:rsidR="00D13D73">
        <w:rPr>
          <w:rFonts w:ascii="Times New Roman" w:hAnsi="Times New Roman"/>
        </w:rPr>
        <w:t>various levels of</w:t>
      </w:r>
      <w:r w:rsidRPr="00755B7D">
        <w:rPr>
          <w:rFonts w:ascii="Times New Roman" w:hAnsi="Times New Roman"/>
        </w:rPr>
        <w:t xml:space="preserve"> threat. This continuum </w:t>
      </w:r>
      <w:r w:rsidR="003E13E8">
        <w:rPr>
          <w:rFonts w:ascii="Times New Roman" w:hAnsi="Times New Roman"/>
        </w:rPr>
        <w:t>contains</w:t>
      </w:r>
      <w:r w:rsidR="0059219A">
        <w:rPr>
          <w:rFonts w:ascii="Times New Roman" w:hAnsi="Times New Roman"/>
        </w:rPr>
        <w:t xml:space="preserve"> escalation of force alternatives such as </w:t>
      </w:r>
      <w:r w:rsidRPr="00755B7D">
        <w:rPr>
          <w:rFonts w:ascii="Times New Roman" w:hAnsi="Times New Roman"/>
        </w:rPr>
        <w:t xml:space="preserve"> avoidance, verbal or visual pe</w:t>
      </w:r>
      <w:r w:rsidR="00943F89">
        <w:rPr>
          <w:rFonts w:ascii="Times New Roman" w:hAnsi="Times New Roman"/>
        </w:rPr>
        <w:t>rsuasion and warning, the use of</w:t>
      </w:r>
      <w:r w:rsidRPr="00755B7D">
        <w:rPr>
          <w:rFonts w:ascii="Times New Roman" w:hAnsi="Times New Roman"/>
        </w:rPr>
        <w:t xml:space="preserve"> non-lethal measures or weapons, and finally, deadly force.</w:t>
      </w:r>
      <w:bookmarkStart w:id="2" w:name="cp45"/>
      <w:r w:rsidR="00D93B99">
        <w:rPr>
          <w:rStyle w:val="FootnoteReference"/>
          <w:rFonts w:ascii="Times New Roman" w:hAnsi="Times New Roman"/>
        </w:rPr>
        <w:footnoteReference w:id="11"/>
      </w:r>
      <w:r w:rsidRPr="00755B7D">
        <w:rPr>
          <w:rFonts w:ascii="Times New Roman" w:hAnsi="Times New Roman"/>
        </w:rPr>
        <w:t xml:space="preserve"> </w:t>
      </w:r>
      <w:bookmarkEnd w:id="2"/>
      <w:r w:rsidRPr="00755B7D">
        <w:rPr>
          <w:rFonts w:ascii="Times New Roman" w:hAnsi="Times New Roman"/>
        </w:rPr>
        <w:t xml:space="preserve"> Deadly force is justified only under conditions of necessity and used only when lesser means cannot be reasonably employed, have failed, or would be likely to fail, and the risk of death or serious bodily harm to innocent persons is not significantly increased by its use.</w:t>
      </w:r>
      <w:r w:rsidR="00FA792B">
        <w:rPr>
          <w:rStyle w:val="FootnoteReference"/>
          <w:rFonts w:ascii="Times New Roman" w:hAnsi="Times New Roman"/>
        </w:rPr>
        <w:footnoteReference w:id="12"/>
      </w:r>
      <w:r w:rsidRPr="00755B7D">
        <w:rPr>
          <w:rFonts w:ascii="Times New Roman" w:hAnsi="Times New Roman"/>
        </w:rPr>
        <w:t xml:space="preserve"> </w:t>
      </w:r>
      <w:r w:rsidR="00EA5C5E">
        <w:rPr>
          <w:rFonts w:ascii="Times New Roman" w:hAnsi="Times New Roman"/>
        </w:rPr>
        <w:t>RUF</w:t>
      </w:r>
      <w:r w:rsidR="001D0118" w:rsidRPr="00755B7D">
        <w:rPr>
          <w:rFonts w:ascii="Times New Roman" w:hAnsi="Times New Roman"/>
        </w:rPr>
        <w:t xml:space="preserve"> are published by commanders and directors at appropriate levels of national authority, with appropriate legal review. </w:t>
      </w:r>
      <w:r w:rsidRPr="00755B7D">
        <w:rPr>
          <w:rFonts w:ascii="Times New Roman" w:hAnsi="Times New Roman"/>
        </w:rPr>
        <w:t xml:space="preserve">Typically, RUF for </w:t>
      </w:r>
      <w:r w:rsidR="00FF23AF">
        <w:rPr>
          <w:rFonts w:ascii="Times New Roman" w:hAnsi="Times New Roman"/>
        </w:rPr>
        <w:t xml:space="preserve">use during </w:t>
      </w:r>
      <w:r w:rsidRPr="00755B7D">
        <w:rPr>
          <w:rFonts w:ascii="Times New Roman" w:hAnsi="Times New Roman"/>
        </w:rPr>
        <w:t xml:space="preserve">U.S. </w:t>
      </w:r>
      <w:r w:rsidR="00ED10A3">
        <w:rPr>
          <w:rFonts w:ascii="Times New Roman" w:hAnsi="Times New Roman"/>
        </w:rPr>
        <w:t xml:space="preserve">security </w:t>
      </w:r>
      <w:r w:rsidRPr="00755B7D">
        <w:rPr>
          <w:rFonts w:ascii="Times New Roman" w:hAnsi="Times New Roman"/>
        </w:rPr>
        <w:t>operations include the following elements:</w:t>
      </w:r>
    </w:p>
    <w:p w:rsidR="00206860" w:rsidRPr="00755B7D" w:rsidRDefault="00206860" w:rsidP="00755B7D">
      <w:pPr>
        <w:tabs>
          <w:tab w:val="left" w:pos="360"/>
        </w:tabs>
        <w:rPr>
          <w:rFonts w:ascii="Times New Roman" w:hAnsi="Times New Roman"/>
        </w:rPr>
      </w:pPr>
    </w:p>
    <w:p w:rsidR="00206860" w:rsidRPr="00755B7D" w:rsidRDefault="00206860" w:rsidP="00755B7D">
      <w:pPr>
        <w:pStyle w:val="ListParagraph"/>
        <w:numPr>
          <w:ilvl w:val="0"/>
          <w:numId w:val="1"/>
        </w:numPr>
        <w:tabs>
          <w:tab w:val="left" w:pos="360"/>
        </w:tabs>
        <w:rPr>
          <w:rFonts w:ascii="Times New Roman" w:hAnsi="Times New Roman"/>
        </w:rPr>
      </w:pPr>
      <w:r w:rsidRPr="00755B7D">
        <w:rPr>
          <w:rFonts w:ascii="Times New Roman" w:hAnsi="Times New Roman"/>
        </w:rPr>
        <w:t>All individuals have an inherent right of self-defense and the defense of others</w:t>
      </w:r>
      <w:r w:rsidR="00D13D73">
        <w:rPr>
          <w:rFonts w:ascii="Times New Roman" w:hAnsi="Times New Roman"/>
        </w:rPr>
        <w:t>;</w:t>
      </w:r>
    </w:p>
    <w:p w:rsidR="00206860" w:rsidRPr="00755B7D" w:rsidRDefault="00206860" w:rsidP="00755B7D">
      <w:pPr>
        <w:tabs>
          <w:tab w:val="left" w:pos="360"/>
        </w:tabs>
        <w:rPr>
          <w:rFonts w:ascii="Times New Roman" w:hAnsi="Times New Roman"/>
        </w:rPr>
      </w:pPr>
    </w:p>
    <w:p w:rsidR="00206860" w:rsidRPr="00755B7D" w:rsidRDefault="00206860" w:rsidP="00755B7D">
      <w:pPr>
        <w:pStyle w:val="ListParagraph"/>
        <w:numPr>
          <w:ilvl w:val="0"/>
          <w:numId w:val="1"/>
        </w:numPr>
        <w:tabs>
          <w:tab w:val="left" w:pos="360"/>
        </w:tabs>
        <w:rPr>
          <w:rFonts w:ascii="Times New Roman" w:hAnsi="Times New Roman"/>
        </w:rPr>
      </w:pPr>
      <w:r w:rsidRPr="00755B7D">
        <w:rPr>
          <w:rFonts w:ascii="Times New Roman" w:hAnsi="Times New Roman"/>
        </w:rPr>
        <w:t>Minimum force necessary and proportional to the threat is used</w:t>
      </w:r>
      <w:r w:rsidR="00D13D73">
        <w:rPr>
          <w:rFonts w:ascii="Times New Roman" w:hAnsi="Times New Roman"/>
        </w:rPr>
        <w:t>;</w:t>
      </w:r>
    </w:p>
    <w:p w:rsidR="00206860" w:rsidRPr="00755B7D" w:rsidRDefault="00206860" w:rsidP="00755B7D">
      <w:pPr>
        <w:tabs>
          <w:tab w:val="left" w:pos="360"/>
        </w:tabs>
        <w:rPr>
          <w:rFonts w:ascii="Times New Roman" w:hAnsi="Times New Roman"/>
        </w:rPr>
      </w:pPr>
    </w:p>
    <w:p w:rsidR="00206860" w:rsidRPr="00755B7D" w:rsidRDefault="00206860" w:rsidP="00755B7D">
      <w:pPr>
        <w:pStyle w:val="ListParagraph"/>
        <w:numPr>
          <w:ilvl w:val="0"/>
          <w:numId w:val="1"/>
        </w:numPr>
        <w:tabs>
          <w:tab w:val="left" w:pos="360"/>
        </w:tabs>
        <w:rPr>
          <w:rFonts w:ascii="Times New Roman" w:hAnsi="Times New Roman"/>
        </w:rPr>
      </w:pPr>
      <w:r w:rsidRPr="00755B7D">
        <w:rPr>
          <w:rFonts w:ascii="Times New Roman" w:hAnsi="Times New Roman"/>
        </w:rPr>
        <w:t>Deadly force is used only</w:t>
      </w:r>
      <w:r w:rsidR="003E13E8">
        <w:rPr>
          <w:rFonts w:ascii="Times New Roman" w:hAnsi="Times New Roman"/>
        </w:rPr>
        <w:t>:</w:t>
      </w:r>
    </w:p>
    <w:p w:rsidR="00206860" w:rsidRPr="00755B7D" w:rsidRDefault="00206860" w:rsidP="00755B7D">
      <w:pPr>
        <w:tabs>
          <w:tab w:val="left" w:pos="360"/>
        </w:tabs>
        <w:rPr>
          <w:rFonts w:ascii="Times New Roman" w:hAnsi="Times New Roman"/>
        </w:rPr>
      </w:pPr>
    </w:p>
    <w:p w:rsidR="00206860" w:rsidRPr="00755B7D" w:rsidRDefault="00206860" w:rsidP="003E13E8">
      <w:pPr>
        <w:pStyle w:val="ListParagraph"/>
        <w:numPr>
          <w:ilvl w:val="1"/>
          <w:numId w:val="1"/>
        </w:numPr>
        <w:tabs>
          <w:tab w:val="left" w:pos="360"/>
        </w:tabs>
        <w:rPr>
          <w:rFonts w:ascii="Times New Roman" w:hAnsi="Times New Roman"/>
        </w:rPr>
      </w:pPr>
      <w:r w:rsidRPr="00755B7D">
        <w:rPr>
          <w:rFonts w:ascii="Times New Roman" w:hAnsi="Times New Roman"/>
        </w:rPr>
        <w:t>For immediate threat of death or serious bodily injury to self or others</w:t>
      </w:r>
      <w:r w:rsidR="00D13D73">
        <w:rPr>
          <w:rFonts w:ascii="Times New Roman" w:hAnsi="Times New Roman"/>
        </w:rPr>
        <w:t>;</w:t>
      </w:r>
    </w:p>
    <w:p w:rsidR="00206860" w:rsidRPr="00755B7D" w:rsidRDefault="00206860" w:rsidP="00755B7D">
      <w:pPr>
        <w:tabs>
          <w:tab w:val="left" w:pos="360"/>
        </w:tabs>
        <w:rPr>
          <w:rFonts w:ascii="Times New Roman" w:hAnsi="Times New Roman"/>
        </w:rPr>
      </w:pPr>
    </w:p>
    <w:p w:rsidR="00206860" w:rsidRPr="00755B7D" w:rsidRDefault="00206860" w:rsidP="003E13E8">
      <w:pPr>
        <w:pStyle w:val="ListParagraph"/>
        <w:numPr>
          <w:ilvl w:val="1"/>
          <w:numId w:val="1"/>
        </w:numPr>
        <w:tabs>
          <w:tab w:val="left" w:pos="360"/>
        </w:tabs>
        <w:rPr>
          <w:rFonts w:ascii="Times New Roman" w:hAnsi="Times New Roman"/>
        </w:rPr>
      </w:pPr>
      <w:r w:rsidRPr="00755B7D">
        <w:rPr>
          <w:rFonts w:ascii="Times New Roman" w:hAnsi="Times New Roman"/>
        </w:rPr>
        <w:t>For defense of persons under protection</w:t>
      </w:r>
      <w:r w:rsidR="00D13D73">
        <w:rPr>
          <w:rFonts w:ascii="Times New Roman" w:hAnsi="Times New Roman"/>
        </w:rPr>
        <w:t>;</w:t>
      </w:r>
      <w:r w:rsidR="004F05F1">
        <w:rPr>
          <w:rFonts w:ascii="Times New Roman" w:hAnsi="Times New Roman"/>
        </w:rPr>
        <w:t xml:space="preserve"> and</w:t>
      </w:r>
    </w:p>
    <w:p w:rsidR="00206860" w:rsidRPr="00755B7D" w:rsidRDefault="00206860" w:rsidP="00755B7D">
      <w:pPr>
        <w:tabs>
          <w:tab w:val="left" w:pos="360"/>
        </w:tabs>
        <w:rPr>
          <w:rFonts w:ascii="Times New Roman" w:hAnsi="Times New Roman"/>
        </w:rPr>
      </w:pPr>
    </w:p>
    <w:p w:rsidR="00206860" w:rsidRPr="00755B7D" w:rsidRDefault="00206860" w:rsidP="003E13E8">
      <w:pPr>
        <w:pStyle w:val="ListParagraph"/>
        <w:numPr>
          <w:ilvl w:val="1"/>
          <w:numId w:val="1"/>
        </w:numPr>
        <w:tabs>
          <w:tab w:val="left" w:pos="360"/>
        </w:tabs>
        <w:rPr>
          <w:rFonts w:ascii="Times New Roman" w:hAnsi="Times New Roman"/>
        </w:rPr>
      </w:pPr>
      <w:r w:rsidRPr="00755B7D">
        <w:rPr>
          <w:rFonts w:ascii="Times New Roman" w:hAnsi="Times New Roman"/>
        </w:rPr>
        <w:t>To prevent theft, damage, or destruction of firearms, ammunition, explosives, or other property designated as inherently dangerous or as critical infrastructure</w:t>
      </w:r>
      <w:r w:rsidR="004F05F1">
        <w:rPr>
          <w:rFonts w:ascii="Times New Roman" w:hAnsi="Times New Roman"/>
        </w:rPr>
        <w:t>.</w:t>
      </w:r>
    </w:p>
    <w:p w:rsidR="00206860" w:rsidRPr="00755B7D" w:rsidRDefault="00206860" w:rsidP="00755B7D">
      <w:pPr>
        <w:tabs>
          <w:tab w:val="left" w:pos="360"/>
        </w:tabs>
        <w:rPr>
          <w:rFonts w:ascii="Times New Roman" w:hAnsi="Times New Roman"/>
        </w:rPr>
      </w:pPr>
    </w:p>
    <w:p w:rsidR="00206860" w:rsidRPr="00755B7D" w:rsidRDefault="00206860" w:rsidP="00755B7D">
      <w:pPr>
        <w:tabs>
          <w:tab w:val="left" w:pos="360"/>
          <w:tab w:val="left" w:pos="720"/>
          <w:tab w:val="left" w:pos="1080"/>
          <w:tab w:val="left" w:pos="1440"/>
        </w:tabs>
        <w:rPr>
          <w:rFonts w:ascii="Times New Roman" w:hAnsi="Times New Roman"/>
        </w:rPr>
      </w:pPr>
      <w:r>
        <w:rPr>
          <w:rFonts w:ascii="Times New Roman" w:hAnsi="Times New Roman"/>
        </w:rPr>
        <w:tab/>
      </w:r>
      <w:r w:rsidRPr="00755B7D">
        <w:rPr>
          <w:rFonts w:ascii="Times New Roman" w:hAnsi="Times New Roman"/>
        </w:rPr>
        <w:t xml:space="preserve">Although the use of force </w:t>
      </w:r>
      <w:r w:rsidR="00943F89">
        <w:rPr>
          <w:rFonts w:ascii="Times New Roman" w:hAnsi="Times New Roman"/>
        </w:rPr>
        <w:t>may be characterized</w:t>
      </w:r>
      <w:r w:rsidRPr="00755B7D">
        <w:rPr>
          <w:rFonts w:ascii="Times New Roman" w:hAnsi="Times New Roman"/>
        </w:rPr>
        <w:t xml:space="preserve"> </w:t>
      </w:r>
      <w:r w:rsidR="004F05F1">
        <w:rPr>
          <w:rFonts w:ascii="Times New Roman" w:hAnsi="Times New Roman"/>
        </w:rPr>
        <w:t xml:space="preserve">as </w:t>
      </w:r>
      <w:r w:rsidRPr="00755B7D">
        <w:rPr>
          <w:rFonts w:ascii="Times New Roman" w:hAnsi="Times New Roman"/>
        </w:rPr>
        <w:t>a continuum</w:t>
      </w:r>
      <w:r w:rsidR="00943F89">
        <w:rPr>
          <w:rFonts w:ascii="Times New Roman" w:hAnsi="Times New Roman"/>
        </w:rPr>
        <w:t xml:space="preserve"> of appropriate responses</w:t>
      </w:r>
      <w:r w:rsidRPr="00755B7D">
        <w:rPr>
          <w:rFonts w:ascii="Times New Roman" w:hAnsi="Times New Roman"/>
        </w:rPr>
        <w:t>, there is no requirement to increase force</w:t>
      </w:r>
      <w:r w:rsidR="00FF23AF">
        <w:rPr>
          <w:rFonts w:ascii="Times New Roman" w:hAnsi="Times New Roman"/>
        </w:rPr>
        <w:t xml:space="preserve"> sequentially</w:t>
      </w:r>
      <w:r w:rsidRPr="00755B7D">
        <w:rPr>
          <w:rFonts w:ascii="Times New Roman" w:hAnsi="Times New Roman"/>
        </w:rPr>
        <w:t>. The decision</w:t>
      </w:r>
      <w:r w:rsidR="00943F89">
        <w:rPr>
          <w:rFonts w:ascii="Times New Roman" w:hAnsi="Times New Roman"/>
        </w:rPr>
        <w:t xml:space="preserve"> regarding the appropriate level of force to be used in self-defense or the defense of others</w:t>
      </w:r>
      <w:r w:rsidRPr="00755B7D">
        <w:rPr>
          <w:rFonts w:ascii="Times New Roman" w:hAnsi="Times New Roman"/>
        </w:rPr>
        <w:t xml:space="preserve"> is made according to what is reasonable to the person facing the threat at the time it is encountered.</w:t>
      </w:r>
      <w:r w:rsidRPr="00755B7D">
        <w:rPr>
          <w:rStyle w:val="FootnoteReference"/>
          <w:rFonts w:ascii="Times New Roman" w:hAnsi="Times New Roman"/>
        </w:rPr>
        <w:footnoteReference w:id="13"/>
      </w:r>
    </w:p>
    <w:p w:rsidR="00206860" w:rsidRPr="00755B7D" w:rsidRDefault="00206860" w:rsidP="00755B7D">
      <w:pPr>
        <w:tabs>
          <w:tab w:val="left" w:pos="360"/>
        </w:tabs>
        <w:rPr>
          <w:rFonts w:ascii="Times New Roman" w:hAnsi="Times New Roman"/>
        </w:rPr>
      </w:pPr>
    </w:p>
    <w:p w:rsidR="00477B8B" w:rsidRPr="00755B7D" w:rsidRDefault="00206860" w:rsidP="00755B7D">
      <w:pPr>
        <w:tabs>
          <w:tab w:val="left" w:pos="360"/>
        </w:tabs>
        <w:rPr>
          <w:rFonts w:ascii="Times New Roman" w:hAnsi="Times New Roman"/>
        </w:rPr>
      </w:pPr>
      <w:r>
        <w:rPr>
          <w:rFonts w:ascii="Times New Roman" w:hAnsi="Times New Roman"/>
        </w:rPr>
        <w:tab/>
      </w:r>
      <w:r w:rsidRPr="00755B7D">
        <w:rPr>
          <w:rFonts w:ascii="Times New Roman" w:hAnsi="Times New Roman"/>
        </w:rPr>
        <w:t>Promulgating effective RUF is not sufficient.  Persons authorized to use force, whether military, public safety personnel, or private security contractors, must have adequate training in the rules themselves</w:t>
      </w:r>
      <w:r w:rsidR="00FF23AF">
        <w:rPr>
          <w:rFonts w:ascii="Times New Roman" w:hAnsi="Times New Roman"/>
        </w:rPr>
        <w:t xml:space="preserve"> and</w:t>
      </w:r>
      <w:r w:rsidRPr="00755B7D">
        <w:rPr>
          <w:rFonts w:ascii="Times New Roman" w:hAnsi="Times New Roman"/>
        </w:rPr>
        <w:t xml:space="preserve"> the practical application of these rules, and must demonstrate proficiency in the lethal and non-lethal weapons that will be used.  These training requirements are addressed in the ICoC and reflect simi</w:t>
      </w:r>
      <w:r w:rsidR="00272CAF">
        <w:rPr>
          <w:rFonts w:ascii="Times New Roman" w:hAnsi="Times New Roman"/>
        </w:rPr>
        <w:t>lar provisions in the Montreux D</w:t>
      </w:r>
      <w:r w:rsidRPr="00755B7D">
        <w:rPr>
          <w:rFonts w:ascii="Times New Roman" w:hAnsi="Times New Roman"/>
        </w:rPr>
        <w:t>ocument.</w:t>
      </w:r>
      <w:r w:rsidR="00272CAF">
        <w:rPr>
          <w:rStyle w:val="FootnoteReference"/>
          <w:rFonts w:ascii="Times New Roman" w:hAnsi="Times New Roman"/>
        </w:rPr>
        <w:footnoteReference w:id="14"/>
      </w:r>
      <w:r w:rsidRPr="00755B7D">
        <w:rPr>
          <w:rFonts w:ascii="Times New Roman" w:hAnsi="Times New Roman"/>
        </w:rPr>
        <w:t xml:space="preserve"> U.S. policy requires initial and </w:t>
      </w:r>
      <w:r w:rsidR="00FF23AF">
        <w:rPr>
          <w:rFonts w:ascii="Times New Roman" w:hAnsi="Times New Roman"/>
        </w:rPr>
        <w:t>recurring</w:t>
      </w:r>
      <w:r w:rsidRPr="00755B7D">
        <w:rPr>
          <w:rFonts w:ascii="Times New Roman" w:hAnsi="Times New Roman"/>
        </w:rPr>
        <w:t xml:space="preserve"> training for contracted security personnel in rules for the use of force, the law of armed conflict, </w:t>
      </w:r>
      <w:r w:rsidR="004F05F1">
        <w:rPr>
          <w:rFonts w:ascii="Times New Roman" w:hAnsi="Times New Roman"/>
        </w:rPr>
        <w:t xml:space="preserve">and </w:t>
      </w:r>
      <w:r w:rsidRPr="00755B7D">
        <w:rPr>
          <w:rFonts w:ascii="Times New Roman" w:hAnsi="Times New Roman"/>
        </w:rPr>
        <w:t xml:space="preserve">relevant human rights law, and </w:t>
      </w:r>
      <w:r w:rsidR="004F05F1">
        <w:rPr>
          <w:rFonts w:ascii="Times New Roman" w:hAnsi="Times New Roman"/>
        </w:rPr>
        <w:t xml:space="preserve">it </w:t>
      </w:r>
      <w:r w:rsidRPr="00755B7D">
        <w:rPr>
          <w:rFonts w:ascii="Times New Roman" w:hAnsi="Times New Roman"/>
        </w:rPr>
        <w:t xml:space="preserve">requires academic instruction, mechanical training, and demonstrated proficiency in the weapons </w:t>
      </w:r>
      <w:r w:rsidR="003822C0">
        <w:rPr>
          <w:rFonts w:ascii="Times New Roman" w:hAnsi="Times New Roman"/>
        </w:rPr>
        <w:t>that</w:t>
      </w:r>
      <w:r w:rsidRPr="00755B7D">
        <w:rPr>
          <w:rFonts w:ascii="Times New Roman" w:hAnsi="Times New Roman"/>
        </w:rPr>
        <w:t xml:space="preserve"> the contractor is authorized to carry.</w:t>
      </w:r>
      <w:r w:rsidR="006A4C3D">
        <w:rPr>
          <w:rStyle w:val="FootnoteReference"/>
          <w:rFonts w:ascii="Times New Roman" w:hAnsi="Times New Roman"/>
        </w:rPr>
        <w:footnoteReference w:id="15"/>
      </w:r>
      <w:r w:rsidRPr="00755B7D">
        <w:rPr>
          <w:rFonts w:ascii="Times New Roman" w:hAnsi="Times New Roman"/>
        </w:rPr>
        <w:t xml:space="preserve"> Minimally, this training must meet standards already in place for members of the Armed Forces or the State Department who are assigned to perform similar security services.</w:t>
      </w:r>
      <w:r w:rsidRPr="00755B7D">
        <w:rPr>
          <w:rStyle w:val="FootnoteReference"/>
          <w:rFonts w:ascii="Times New Roman" w:hAnsi="Times New Roman"/>
        </w:rPr>
        <w:footnoteReference w:id="16"/>
      </w:r>
      <w:r w:rsidRPr="00755B7D">
        <w:rPr>
          <w:rFonts w:ascii="Times New Roman" w:hAnsi="Times New Roman"/>
        </w:rPr>
        <w:t xml:space="preserve"> </w:t>
      </w:r>
      <w:r w:rsidR="00477B8B" w:rsidRPr="00755B7D">
        <w:rPr>
          <w:rFonts w:ascii="Times New Roman" w:hAnsi="Times New Roman"/>
        </w:rPr>
        <w:t xml:space="preserve">As the process </w:t>
      </w:r>
      <w:r w:rsidR="001439DE">
        <w:rPr>
          <w:rFonts w:ascii="Times New Roman" w:hAnsi="Times New Roman"/>
        </w:rPr>
        <w:t>of developing</w:t>
      </w:r>
      <w:r w:rsidR="00477B8B" w:rsidRPr="00755B7D">
        <w:rPr>
          <w:rFonts w:ascii="Times New Roman" w:hAnsi="Times New Roman"/>
        </w:rPr>
        <w:t xml:space="preserve"> international standards for private security services continue</w:t>
      </w:r>
      <w:r w:rsidR="004F05F1">
        <w:rPr>
          <w:rFonts w:ascii="Times New Roman" w:hAnsi="Times New Roman"/>
        </w:rPr>
        <w:t>s</w:t>
      </w:r>
      <w:r w:rsidR="00477B8B" w:rsidRPr="00755B7D">
        <w:rPr>
          <w:rFonts w:ascii="Times New Roman" w:hAnsi="Times New Roman"/>
        </w:rPr>
        <w:t xml:space="preserve">, these </w:t>
      </w:r>
      <w:r w:rsidR="007977D2" w:rsidRPr="00755B7D">
        <w:rPr>
          <w:rFonts w:ascii="Times New Roman" w:hAnsi="Times New Roman"/>
        </w:rPr>
        <w:t xml:space="preserve">training </w:t>
      </w:r>
      <w:r w:rsidR="00477B8B" w:rsidRPr="00755B7D">
        <w:rPr>
          <w:rFonts w:ascii="Times New Roman" w:hAnsi="Times New Roman"/>
        </w:rPr>
        <w:t xml:space="preserve">requirements will be specified by international standard and </w:t>
      </w:r>
      <w:r w:rsidR="003822C0">
        <w:rPr>
          <w:rFonts w:ascii="Times New Roman" w:hAnsi="Times New Roman"/>
        </w:rPr>
        <w:t xml:space="preserve">will be </w:t>
      </w:r>
      <w:r w:rsidR="00477B8B" w:rsidRPr="00755B7D">
        <w:rPr>
          <w:rFonts w:ascii="Times New Roman" w:hAnsi="Times New Roman"/>
        </w:rPr>
        <w:t>subject to independent monitoring and validation.</w:t>
      </w:r>
    </w:p>
    <w:p w:rsidR="00477B8B" w:rsidRPr="00755B7D" w:rsidRDefault="00477B8B" w:rsidP="00755B7D">
      <w:pPr>
        <w:tabs>
          <w:tab w:val="left" w:pos="360"/>
        </w:tabs>
        <w:rPr>
          <w:rFonts w:ascii="Times New Roman" w:hAnsi="Times New Roman"/>
        </w:rPr>
      </w:pPr>
    </w:p>
    <w:p w:rsidR="00477B8B" w:rsidRPr="00755B7D" w:rsidRDefault="00755B7D" w:rsidP="00755B7D">
      <w:pPr>
        <w:tabs>
          <w:tab w:val="left" w:pos="360"/>
        </w:tabs>
        <w:rPr>
          <w:rFonts w:ascii="Times New Roman" w:hAnsi="Times New Roman"/>
        </w:rPr>
      </w:pPr>
      <w:r>
        <w:rPr>
          <w:rFonts w:ascii="Times New Roman" w:hAnsi="Times New Roman"/>
        </w:rPr>
        <w:tab/>
      </w:r>
      <w:r w:rsidR="00477B8B" w:rsidRPr="00755B7D">
        <w:rPr>
          <w:rFonts w:ascii="Times New Roman" w:hAnsi="Times New Roman"/>
        </w:rPr>
        <w:t xml:space="preserve">In many regions of the world gripped by violence that overwhelms the capacity of the affected government to maintain order and the security of the civilian population, private security services may be essential to enable relief, reconstruction, recovery, and economic activity.  The use of force by these security providers must be consistent with their civilian status and applied in a way that supports the restoration of the rule of law and </w:t>
      </w:r>
      <w:r w:rsidR="00943F89">
        <w:rPr>
          <w:rFonts w:ascii="Times New Roman" w:hAnsi="Times New Roman"/>
        </w:rPr>
        <w:t xml:space="preserve">the </w:t>
      </w:r>
      <w:r w:rsidR="00477B8B" w:rsidRPr="00755B7D">
        <w:rPr>
          <w:rFonts w:ascii="Times New Roman" w:hAnsi="Times New Roman"/>
        </w:rPr>
        <w:t>basic human rights o</w:t>
      </w:r>
      <w:r w:rsidR="00566735" w:rsidRPr="00755B7D">
        <w:rPr>
          <w:rFonts w:ascii="Times New Roman" w:hAnsi="Times New Roman"/>
        </w:rPr>
        <w:t xml:space="preserve">f the affected population. The use of force </w:t>
      </w:r>
      <w:r w:rsidR="00720293">
        <w:rPr>
          <w:rFonts w:ascii="Times New Roman" w:hAnsi="Times New Roman"/>
        </w:rPr>
        <w:t>by private security service p</w:t>
      </w:r>
      <w:r w:rsidR="001439DE">
        <w:rPr>
          <w:rFonts w:ascii="Times New Roman" w:hAnsi="Times New Roman"/>
        </w:rPr>
        <w:t xml:space="preserve">roviders </w:t>
      </w:r>
      <w:r w:rsidR="00566735" w:rsidRPr="00755B7D">
        <w:rPr>
          <w:rFonts w:ascii="Times New Roman" w:hAnsi="Times New Roman"/>
        </w:rPr>
        <w:t>is based on the</w:t>
      </w:r>
      <w:r w:rsidR="00477B8B" w:rsidRPr="00755B7D">
        <w:rPr>
          <w:rFonts w:ascii="Times New Roman" w:hAnsi="Times New Roman"/>
        </w:rPr>
        <w:t xml:space="preserve"> inherent right of </w:t>
      </w:r>
      <w:r w:rsidR="00943F89">
        <w:rPr>
          <w:rFonts w:ascii="Times New Roman" w:hAnsi="Times New Roman"/>
        </w:rPr>
        <w:t>self-defense</w:t>
      </w:r>
      <w:r w:rsidR="001439DE">
        <w:rPr>
          <w:rFonts w:ascii="Times New Roman" w:hAnsi="Times New Roman"/>
        </w:rPr>
        <w:t>.</w:t>
      </w:r>
      <w:r w:rsidR="00720293">
        <w:rPr>
          <w:rFonts w:ascii="Times New Roman" w:hAnsi="Times New Roman"/>
        </w:rPr>
        <w:t xml:space="preserve">   In exer</w:t>
      </w:r>
      <w:r w:rsidR="00581F8C">
        <w:rPr>
          <w:rFonts w:ascii="Times New Roman" w:hAnsi="Times New Roman"/>
        </w:rPr>
        <w:t>cising this right</w:t>
      </w:r>
      <w:r w:rsidR="005F002E">
        <w:rPr>
          <w:rFonts w:ascii="Times New Roman" w:hAnsi="Times New Roman"/>
        </w:rPr>
        <w:t xml:space="preserve">, steps must be taken to minimize </w:t>
      </w:r>
      <w:r w:rsidR="00E422B9">
        <w:rPr>
          <w:rFonts w:ascii="Times New Roman" w:hAnsi="Times New Roman"/>
        </w:rPr>
        <w:t xml:space="preserve">the potential for </w:t>
      </w:r>
      <w:r w:rsidR="00477B8B" w:rsidRPr="00755B7D">
        <w:rPr>
          <w:rFonts w:ascii="Times New Roman" w:hAnsi="Times New Roman"/>
        </w:rPr>
        <w:t xml:space="preserve"> inadvertent harm that might be caused by the use of weapons by security forces. Rules for the use of force </w:t>
      </w:r>
      <w:r w:rsidR="00943F89">
        <w:rPr>
          <w:rFonts w:ascii="Times New Roman" w:hAnsi="Times New Roman"/>
        </w:rPr>
        <w:t>are</w:t>
      </w:r>
      <w:r w:rsidR="00566735" w:rsidRPr="00755B7D">
        <w:rPr>
          <w:rFonts w:ascii="Times New Roman" w:hAnsi="Times New Roman"/>
        </w:rPr>
        <w:t xml:space="preserve"> an important means</w:t>
      </w:r>
      <w:r w:rsidR="00477B8B" w:rsidRPr="00755B7D">
        <w:rPr>
          <w:rFonts w:ascii="Times New Roman" w:hAnsi="Times New Roman"/>
        </w:rPr>
        <w:t xml:space="preserve"> </w:t>
      </w:r>
      <w:r w:rsidR="00E422B9">
        <w:rPr>
          <w:rFonts w:ascii="Times New Roman" w:hAnsi="Times New Roman"/>
        </w:rPr>
        <w:t xml:space="preserve">for understanding and exercising </w:t>
      </w:r>
      <w:r w:rsidR="00632FA5">
        <w:rPr>
          <w:rFonts w:ascii="Times New Roman" w:hAnsi="Times New Roman"/>
        </w:rPr>
        <w:t>the right of self-</w:t>
      </w:r>
      <w:r w:rsidR="00E422B9">
        <w:rPr>
          <w:rFonts w:ascii="Times New Roman" w:hAnsi="Times New Roman"/>
        </w:rPr>
        <w:t>defense</w:t>
      </w:r>
      <w:r w:rsidR="00477B8B" w:rsidRPr="00755B7D">
        <w:rPr>
          <w:rFonts w:ascii="Times New Roman" w:hAnsi="Times New Roman"/>
        </w:rPr>
        <w:t xml:space="preserve">. The International Code of Conduct for Private Security Service Providers </w:t>
      </w:r>
      <w:r w:rsidR="003822C0">
        <w:rPr>
          <w:rFonts w:ascii="Times New Roman" w:hAnsi="Times New Roman"/>
        </w:rPr>
        <w:t>describes</w:t>
      </w:r>
      <w:r w:rsidR="00477B8B" w:rsidRPr="00755B7D">
        <w:rPr>
          <w:rFonts w:ascii="Times New Roman" w:hAnsi="Times New Roman"/>
        </w:rPr>
        <w:t xml:space="preserve"> principles to guide the development of such rules.  U.S. policy for the use of force by security forces is consistent with those principles. When properly trained, applied, and enforced, such RUF </w:t>
      </w:r>
      <w:r w:rsidR="00E422B9">
        <w:rPr>
          <w:rFonts w:ascii="Times New Roman" w:hAnsi="Times New Roman"/>
        </w:rPr>
        <w:t>will</w:t>
      </w:r>
      <w:r w:rsidR="00477B8B" w:rsidRPr="00755B7D">
        <w:rPr>
          <w:rFonts w:ascii="Times New Roman" w:hAnsi="Times New Roman"/>
        </w:rPr>
        <w:t xml:space="preserve"> support the restoration of the rule of law and the </w:t>
      </w:r>
      <w:r w:rsidR="00E422B9">
        <w:rPr>
          <w:rFonts w:ascii="Times New Roman" w:hAnsi="Times New Roman"/>
        </w:rPr>
        <w:t xml:space="preserve">protection of </w:t>
      </w:r>
      <w:r w:rsidR="00477B8B" w:rsidRPr="00755B7D">
        <w:rPr>
          <w:rFonts w:ascii="Times New Roman" w:hAnsi="Times New Roman"/>
        </w:rPr>
        <w:t>human rights</w:t>
      </w:r>
      <w:r w:rsidR="00E422B9">
        <w:rPr>
          <w:rFonts w:ascii="Times New Roman" w:hAnsi="Times New Roman"/>
        </w:rPr>
        <w:t>.</w:t>
      </w:r>
    </w:p>
    <w:p w:rsidR="00522FE0" w:rsidRPr="00755B7D" w:rsidRDefault="00522FE0" w:rsidP="00755B7D">
      <w:pPr>
        <w:tabs>
          <w:tab w:val="left" w:pos="360"/>
        </w:tabs>
        <w:rPr>
          <w:rFonts w:ascii="Times New Roman" w:hAnsi="Times New Roman"/>
        </w:rPr>
      </w:pPr>
    </w:p>
    <w:sectPr w:rsidR="00522FE0" w:rsidRPr="00755B7D" w:rsidSect="00522FE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F41" w:rsidRDefault="00125F41" w:rsidP="00EF16D7">
      <w:r>
        <w:separator/>
      </w:r>
    </w:p>
  </w:endnote>
  <w:endnote w:type="continuationSeparator" w:id="0">
    <w:p w:rsidR="00125F41" w:rsidRDefault="00125F41" w:rsidP="00EF16D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F41" w:rsidRDefault="00125F41" w:rsidP="00EF16D7">
      <w:r>
        <w:separator/>
      </w:r>
    </w:p>
  </w:footnote>
  <w:footnote w:type="continuationSeparator" w:id="0">
    <w:p w:rsidR="00125F41" w:rsidRDefault="00125F41" w:rsidP="00EF16D7">
      <w:r>
        <w:continuationSeparator/>
      </w:r>
    </w:p>
  </w:footnote>
  <w:footnote w:id="1">
    <w:p w:rsidR="00043CBD" w:rsidRDefault="00043CBD">
      <w:pPr>
        <w:pStyle w:val="FootnoteText"/>
      </w:pPr>
      <w:r>
        <w:rPr>
          <w:rStyle w:val="FootnoteReference"/>
        </w:rPr>
        <w:footnoteRef/>
      </w:r>
      <w:r>
        <w:t xml:space="preserve"> </w:t>
      </w:r>
      <w:r w:rsidRPr="00043CBD">
        <w:rPr>
          <w:rFonts w:ascii="Arial" w:hAnsi="Arial" w:cs="Arial"/>
          <w:sz w:val="16"/>
          <w:szCs w:val="16"/>
        </w:rPr>
        <w:t>Director, Armed</w:t>
      </w:r>
      <w:r>
        <w:rPr>
          <w:rFonts w:ascii="Arial" w:hAnsi="Arial" w:cs="Arial"/>
          <w:sz w:val="16"/>
          <w:szCs w:val="16"/>
        </w:rPr>
        <w:t xml:space="preserve"> Contingency Contractor Policy and Programs, Office of the Deputy Assistant Secretary of Defense (Program Support). </w:t>
      </w:r>
      <w:r w:rsidRPr="00043CBD">
        <w:rPr>
          <w:rFonts w:ascii="Arial" w:hAnsi="Arial" w:cs="Arial"/>
          <w:sz w:val="16"/>
          <w:szCs w:val="16"/>
        </w:rPr>
        <w:t>The views expressed herein are the personal views of the author, and may not necessarily reflect an official position of the Department of Defense or any other agency of the United States Government.</w:t>
      </w:r>
    </w:p>
  </w:footnote>
  <w:footnote w:id="2">
    <w:p w:rsidR="00BB0CC0" w:rsidRPr="002E6CA2" w:rsidRDefault="00043CBD">
      <w:pPr>
        <w:pStyle w:val="FootnoteText"/>
        <w:rPr>
          <w:rFonts w:ascii="Arial" w:hAnsi="Arial" w:cs="Arial"/>
          <w:sz w:val="16"/>
          <w:szCs w:val="16"/>
        </w:rPr>
      </w:pPr>
      <w:r>
        <w:rPr>
          <w:rStyle w:val="FootnoteReference"/>
        </w:rPr>
        <w:footnoteRef/>
      </w:r>
      <w:r>
        <w:rPr>
          <w:rStyle w:val="FootnoteReference"/>
          <w:rFonts w:ascii="Arial" w:hAnsi="Arial" w:cs="Arial"/>
          <w:sz w:val="16"/>
          <w:szCs w:val="16"/>
        </w:rPr>
        <w:t xml:space="preserve"> </w:t>
      </w:r>
      <w:r w:rsidR="00BB0CC0" w:rsidRPr="002E6CA2">
        <w:rPr>
          <w:rFonts w:ascii="Arial" w:hAnsi="Arial" w:cs="Arial"/>
          <w:sz w:val="16"/>
          <w:szCs w:val="16"/>
        </w:rPr>
        <w:t xml:space="preserve">Release of the Montreux Document, Swiss Federal Department of Foreign Affairs, </w:t>
      </w:r>
      <w:hyperlink r:id="rId1" w:history="1">
        <w:r w:rsidR="00BB0CC0" w:rsidRPr="002E6CA2">
          <w:rPr>
            <w:rStyle w:val="Hyperlink"/>
            <w:rFonts w:ascii="Arial" w:hAnsi="Arial" w:cs="Arial"/>
            <w:sz w:val="16"/>
            <w:szCs w:val="16"/>
          </w:rPr>
          <w:t>http://www.eda.admin.ch/eda/en/home/topics/intla/humlaw/pse/psechi.html</w:t>
        </w:r>
      </w:hyperlink>
      <w:r w:rsidR="00BB0CC0" w:rsidRPr="002E6CA2">
        <w:rPr>
          <w:rFonts w:ascii="Arial" w:hAnsi="Arial" w:cs="Arial"/>
          <w:sz w:val="16"/>
          <w:szCs w:val="16"/>
        </w:rPr>
        <w:t>, accessed November 8, 2010</w:t>
      </w:r>
      <w:r w:rsidR="00BB0CC0">
        <w:rPr>
          <w:rFonts w:ascii="Arial" w:hAnsi="Arial" w:cs="Arial"/>
          <w:sz w:val="16"/>
          <w:szCs w:val="16"/>
        </w:rPr>
        <w:t>.</w:t>
      </w:r>
    </w:p>
  </w:footnote>
  <w:footnote w:id="3">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International Code of Conduct for Private Security Service Providers, November 2010, Section 31, available at: </w:t>
      </w:r>
      <w:hyperlink r:id="rId2" w:history="1">
        <w:r w:rsidRPr="002E6CA2">
          <w:rPr>
            <w:rStyle w:val="Hyperlink"/>
            <w:rFonts w:ascii="Arial" w:hAnsi="Arial" w:cs="Arial"/>
            <w:sz w:val="16"/>
            <w:szCs w:val="16"/>
          </w:rPr>
          <w:t>http://dcafdev.ethz.ch/content/download/603/7059/version/1/file/PSC%20-%202010-10-08%20-%20International%20Code%20of%20Conduct_final.pdf</w:t>
        </w:r>
      </w:hyperlink>
      <w:r w:rsidRPr="002E6CA2">
        <w:rPr>
          <w:rFonts w:ascii="Arial" w:hAnsi="Arial" w:cs="Arial"/>
          <w:sz w:val="16"/>
          <w:szCs w:val="16"/>
        </w:rPr>
        <w:t xml:space="preserve">, accessed November </w:t>
      </w:r>
      <w:r>
        <w:rPr>
          <w:rFonts w:ascii="Arial" w:hAnsi="Arial" w:cs="Arial"/>
          <w:sz w:val="16"/>
          <w:szCs w:val="16"/>
        </w:rPr>
        <w:t xml:space="preserve">8, </w:t>
      </w:r>
      <w:r w:rsidRPr="002E6CA2">
        <w:rPr>
          <w:rFonts w:ascii="Arial" w:hAnsi="Arial" w:cs="Arial"/>
          <w:sz w:val="16"/>
          <w:szCs w:val="16"/>
        </w:rPr>
        <w:t>2010</w:t>
      </w:r>
      <w:r>
        <w:rPr>
          <w:rFonts w:ascii="Arial" w:hAnsi="Arial" w:cs="Arial"/>
          <w:sz w:val="16"/>
          <w:szCs w:val="16"/>
        </w:rPr>
        <w:t>.</w:t>
      </w:r>
    </w:p>
  </w:footnote>
  <w:footnote w:id="4">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D</w:t>
      </w:r>
      <w:r>
        <w:rPr>
          <w:rFonts w:ascii="Arial" w:hAnsi="Arial" w:cs="Arial"/>
          <w:sz w:val="16"/>
          <w:szCs w:val="16"/>
        </w:rPr>
        <w:t>o</w:t>
      </w:r>
      <w:r w:rsidRPr="002E6CA2">
        <w:rPr>
          <w:rFonts w:ascii="Arial" w:hAnsi="Arial" w:cs="Arial"/>
          <w:sz w:val="16"/>
          <w:szCs w:val="16"/>
        </w:rPr>
        <w:t>D</w:t>
      </w:r>
      <w:r>
        <w:rPr>
          <w:rFonts w:ascii="Arial" w:hAnsi="Arial" w:cs="Arial"/>
          <w:sz w:val="16"/>
          <w:szCs w:val="16"/>
        </w:rPr>
        <w:t xml:space="preserve"> Directive</w:t>
      </w:r>
      <w:r w:rsidRPr="002E6CA2">
        <w:rPr>
          <w:rFonts w:ascii="Arial" w:hAnsi="Arial" w:cs="Arial"/>
          <w:sz w:val="16"/>
          <w:szCs w:val="16"/>
        </w:rPr>
        <w:t xml:space="preserve"> 5210.56, </w:t>
      </w:r>
      <w:bookmarkStart w:id="0" w:name="OLE_LINK7"/>
      <w:bookmarkStart w:id="1" w:name="OLE_LINK8"/>
      <w:r w:rsidRPr="002E6CA2">
        <w:rPr>
          <w:rFonts w:ascii="Arial" w:hAnsi="Arial" w:cs="Arial"/>
          <w:i/>
          <w:sz w:val="16"/>
          <w:szCs w:val="16"/>
        </w:rPr>
        <w:t>Carrying of Firearms, Non-Lethal Weapons, and the Use of Force by DoD Personnel Engaged in Security, Law and Order, or Counterintelligence</w:t>
      </w:r>
      <w:bookmarkEnd w:id="0"/>
      <w:bookmarkEnd w:id="1"/>
      <w:r w:rsidRPr="002E6CA2">
        <w:rPr>
          <w:rFonts w:ascii="Arial" w:hAnsi="Arial" w:cs="Arial"/>
          <w:i/>
          <w:sz w:val="16"/>
          <w:szCs w:val="16"/>
        </w:rPr>
        <w:t xml:space="preserve"> Activities</w:t>
      </w:r>
      <w:r w:rsidRPr="002E6CA2">
        <w:rPr>
          <w:rFonts w:ascii="Arial" w:hAnsi="Arial" w:cs="Arial"/>
          <w:sz w:val="16"/>
          <w:szCs w:val="16"/>
        </w:rPr>
        <w:t xml:space="preserve">, Department of Defense, Washington, DC, March 2010, </w:t>
      </w:r>
      <w:r>
        <w:rPr>
          <w:rFonts w:ascii="Arial" w:hAnsi="Arial" w:cs="Arial"/>
          <w:sz w:val="16"/>
          <w:szCs w:val="16"/>
        </w:rPr>
        <w:t>Enclosure 2, para. 4.d.</w:t>
      </w:r>
    </w:p>
  </w:footnote>
  <w:footnote w:id="5">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w:t>
      </w:r>
      <w:r>
        <w:rPr>
          <w:rFonts w:ascii="Arial" w:hAnsi="Arial" w:cs="Arial"/>
          <w:sz w:val="16"/>
          <w:szCs w:val="16"/>
        </w:rPr>
        <w:t>US</w:t>
      </w:r>
      <w:r w:rsidRPr="002E6CA2">
        <w:rPr>
          <w:rFonts w:ascii="Arial" w:eastAsiaTheme="minorHAnsi" w:hAnsi="Arial" w:cs="Arial"/>
          <w:sz w:val="16"/>
          <w:szCs w:val="16"/>
          <w:lang w:bidi="ar-SA"/>
        </w:rPr>
        <w:t xml:space="preserve">CENTCOM </w:t>
      </w:r>
      <w:r>
        <w:rPr>
          <w:rFonts w:ascii="Arial" w:eastAsiaTheme="minorHAnsi" w:hAnsi="Arial" w:cs="Arial"/>
          <w:sz w:val="16"/>
          <w:szCs w:val="16"/>
          <w:lang w:bidi="ar-SA"/>
        </w:rPr>
        <w:t>Policy and Delegation of Authority for Personal Protection and Contract Security Service Arming of DoD Civilian Personnel and Contractors for Afghanistan, August 2010, para. 4.d.2.</w:t>
      </w:r>
    </w:p>
  </w:footnote>
  <w:footnote w:id="6">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D</w:t>
      </w:r>
      <w:r>
        <w:rPr>
          <w:rFonts w:ascii="Arial" w:hAnsi="Arial" w:cs="Arial"/>
          <w:sz w:val="16"/>
          <w:szCs w:val="16"/>
        </w:rPr>
        <w:t>o</w:t>
      </w:r>
      <w:r w:rsidRPr="002E6CA2">
        <w:rPr>
          <w:rFonts w:ascii="Arial" w:hAnsi="Arial" w:cs="Arial"/>
          <w:sz w:val="16"/>
          <w:szCs w:val="16"/>
        </w:rPr>
        <w:t>D</w:t>
      </w:r>
      <w:r>
        <w:rPr>
          <w:rFonts w:ascii="Arial" w:hAnsi="Arial" w:cs="Arial"/>
          <w:sz w:val="16"/>
          <w:szCs w:val="16"/>
        </w:rPr>
        <w:t xml:space="preserve"> Directive</w:t>
      </w:r>
      <w:r w:rsidRPr="002E6CA2">
        <w:rPr>
          <w:rFonts w:ascii="Arial" w:hAnsi="Arial" w:cs="Arial"/>
          <w:sz w:val="16"/>
          <w:szCs w:val="16"/>
        </w:rPr>
        <w:t xml:space="preserve"> 5210.56, </w:t>
      </w:r>
      <w:r>
        <w:rPr>
          <w:rFonts w:ascii="Arial" w:hAnsi="Arial" w:cs="Arial"/>
          <w:sz w:val="16"/>
          <w:szCs w:val="16"/>
        </w:rPr>
        <w:t>Enclosure 2, para. 4.d.(6).</w:t>
      </w:r>
    </w:p>
  </w:footnote>
  <w:footnote w:id="7">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Id</w:t>
      </w:r>
      <w:r>
        <w:rPr>
          <w:rFonts w:ascii="Arial" w:hAnsi="Arial" w:cs="Arial"/>
          <w:sz w:val="16"/>
          <w:szCs w:val="16"/>
        </w:rPr>
        <w:t xml:space="preserve"> at </w:t>
      </w:r>
      <w:r w:rsidRPr="002E6CA2">
        <w:rPr>
          <w:rFonts w:ascii="Arial" w:hAnsi="Arial" w:cs="Arial"/>
          <w:sz w:val="16"/>
          <w:szCs w:val="16"/>
        </w:rPr>
        <w:t xml:space="preserve">, </w:t>
      </w:r>
      <w:r>
        <w:rPr>
          <w:rFonts w:ascii="Arial" w:hAnsi="Arial" w:cs="Arial"/>
          <w:sz w:val="16"/>
          <w:szCs w:val="16"/>
        </w:rPr>
        <w:t xml:space="preserve">Glossary, Part II, </w:t>
      </w:r>
      <w:r w:rsidRPr="002E6CA2">
        <w:rPr>
          <w:rFonts w:ascii="Arial" w:hAnsi="Arial" w:cs="Arial"/>
          <w:sz w:val="16"/>
          <w:szCs w:val="16"/>
        </w:rPr>
        <w:t>p. 1</w:t>
      </w:r>
      <w:r>
        <w:rPr>
          <w:rFonts w:ascii="Arial" w:hAnsi="Arial" w:cs="Arial"/>
          <w:sz w:val="16"/>
          <w:szCs w:val="16"/>
        </w:rPr>
        <w:t>4.</w:t>
      </w:r>
    </w:p>
  </w:footnote>
  <w:footnote w:id="8">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Id</w:t>
      </w:r>
      <w:r>
        <w:rPr>
          <w:rFonts w:ascii="Arial" w:hAnsi="Arial" w:cs="Arial"/>
          <w:sz w:val="16"/>
          <w:szCs w:val="16"/>
        </w:rPr>
        <w:t xml:space="preserve"> at Enclosure 2, para. 4.d.(5).</w:t>
      </w:r>
    </w:p>
  </w:footnote>
  <w:footnote w:id="9">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w:t>
      </w:r>
      <w:r w:rsidRPr="002E6CA2">
        <w:rPr>
          <w:rFonts w:ascii="Arial" w:hAnsi="Arial" w:cs="Arial"/>
          <w:i/>
          <w:sz w:val="16"/>
          <w:szCs w:val="16"/>
        </w:rPr>
        <w:t>Interpretive Guidance on the Notion of Direct Participation in Hostilities Under International Humanitarian Law</w:t>
      </w:r>
      <w:r w:rsidRPr="002E6CA2">
        <w:rPr>
          <w:rFonts w:ascii="Arial" w:hAnsi="Arial" w:cs="Arial"/>
          <w:sz w:val="16"/>
          <w:szCs w:val="16"/>
        </w:rPr>
        <w:t>, Nils Mezler, International Committee of the Red Cross, Geneva, May 2009, p.61</w:t>
      </w:r>
      <w:r>
        <w:rPr>
          <w:rFonts w:ascii="Arial" w:hAnsi="Arial" w:cs="Arial"/>
          <w:sz w:val="16"/>
          <w:szCs w:val="16"/>
        </w:rPr>
        <w:t>.</w:t>
      </w:r>
    </w:p>
  </w:footnote>
  <w:footnote w:id="10">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Rules of Engagement Handbook, Alan Cole, et alia, International Institute of Humanitarian Law, San Remo, Italy, November 2009, p.1</w:t>
      </w:r>
    </w:p>
  </w:footnote>
  <w:footnote w:id="11">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w:t>
      </w:r>
      <w:r>
        <w:rPr>
          <w:rFonts w:ascii="Arial" w:hAnsi="Arial" w:cs="Arial"/>
          <w:sz w:val="16"/>
          <w:szCs w:val="16"/>
        </w:rPr>
        <w:t>Army Regulation</w:t>
      </w:r>
      <w:r w:rsidRPr="002E6CA2">
        <w:rPr>
          <w:rFonts w:ascii="Arial" w:hAnsi="Arial" w:cs="Arial"/>
          <w:sz w:val="16"/>
          <w:szCs w:val="16"/>
        </w:rPr>
        <w:t xml:space="preserve"> 190-14, </w:t>
      </w:r>
      <w:r>
        <w:rPr>
          <w:rFonts w:ascii="Arial" w:hAnsi="Arial" w:cs="Arial"/>
          <w:sz w:val="16"/>
          <w:szCs w:val="16"/>
        </w:rPr>
        <w:t xml:space="preserve">Carrying of Firearms and Use of Force for Law Enforcement and Security Duties, March 12, 1993, </w:t>
      </w:r>
      <w:r w:rsidRPr="002E6CA2">
        <w:rPr>
          <w:rFonts w:ascii="Arial" w:hAnsi="Arial" w:cs="Arial"/>
          <w:sz w:val="16"/>
          <w:szCs w:val="16"/>
        </w:rPr>
        <w:t>para. 3-1, b.</w:t>
      </w:r>
      <w:r>
        <w:rPr>
          <w:rFonts w:ascii="Arial" w:hAnsi="Arial" w:cs="Arial"/>
          <w:sz w:val="16"/>
          <w:szCs w:val="16"/>
        </w:rPr>
        <w:t xml:space="preserve">  The continuum is primarily a training tool for identifying possible responses to a threat.</w:t>
      </w:r>
    </w:p>
  </w:footnote>
  <w:footnote w:id="12">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D</w:t>
      </w:r>
      <w:r>
        <w:rPr>
          <w:rFonts w:ascii="Arial" w:hAnsi="Arial" w:cs="Arial"/>
          <w:sz w:val="16"/>
          <w:szCs w:val="16"/>
        </w:rPr>
        <w:t>o</w:t>
      </w:r>
      <w:r w:rsidRPr="002E6CA2">
        <w:rPr>
          <w:rFonts w:ascii="Arial" w:hAnsi="Arial" w:cs="Arial"/>
          <w:sz w:val="16"/>
          <w:szCs w:val="16"/>
        </w:rPr>
        <w:t>D</w:t>
      </w:r>
      <w:r>
        <w:rPr>
          <w:rFonts w:ascii="Arial" w:hAnsi="Arial" w:cs="Arial"/>
          <w:sz w:val="16"/>
          <w:szCs w:val="16"/>
        </w:rPr>
        <w:t xml:space="preserve"> Directive</w:t>
      </w:r>
      <w:r w:rsidRPr="002E6CA2">
        <w:rPr>
          <w:rFonts w:ascii="Arial" w:hAnsi="Arial" w:cs="Arial"/>
          <w:sz w:val="16"/>
          <w:szCs w:val="16"/>
        </w:rPr>
        <w:t xml:space="preserve"> 5210.56, </w:t>
      </w:r>
      <w:r>
        <w:rPr>
          <w:rFonts w:ascii="Arial" w:hAnsi="Arial" w:cs="Arial"/>
          <w:sz w:val="16"/>
          <w:szCs w:val="16"/>
        </w:rPr>
        <w:t>Enclosure 2, para. 4.b.</w:t>
      </w:r>
    </w:p>
  </w:footnote>
  <w:footnote w:id="13">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Id </w:t>
      </w:r>
      <w:r>
        <w:rPr>
          <w:rFonts w:ascii="Arial" w:hAnsi="Arial" w:cs="Arial"/>
          <w:sz w:val="16"/>
          <w:szCs w:val="16"/>
        </w:rPr>
        <w:t>at Enclosure 2, paras. 3 and 4 .</w:t>
      </w:r>
    </w:p>
  </w:footnote>
  <w:footnote w:id="14">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Montreux Document, Part II, Clauses 10 and 14</w:t>
      </w:r>
      <w:r>
        <w:rPr>
          <w:rFonts w:ascii="Arial" w:hAnsi="Arial" w:cs="Arial"/>
          <w:sz w:val="16"/>
          <w:szCs w:val="16"/>
        </w:rPr>
        <w:t>.</w:t>
      </w:r>
    </w:p>
  </w:footnote>
  <w:footnote w:id="15">
    <w:p w:rsidR="00BB0CC0" w:rsidRDefault="00BB0CC0" w:rsidP="006A4C3D">
      <w:pPr>
        <w:autoSpaceDE w:val="0"/>
        <w:autoSpaceDN w:val="0"/>
        <w:adjustRightInd w:val="0"/>
      </w:pPr>
      <w:r w:rsidRPr="002E6CA2">
        <w:rPr>
          <w:rStyle w:val="FootnoteReference"/>
          <w:rFonts w:ascii="Arial" w:hAnsi="Arial" w:cs="Arial"/>
          <w:sz w:val="16"/>
          <w:szCs w:val="16"/>
        </w:rPr>
        <w:footnoteRef/>
      </w:r>
      <w:r w:rsidRPr="002E6CA2">
        <w:rPr>
          <w:rFonts w:ascii="Arial" w:hAnsi="Arial" w:cs="Arial"/>
          <w:sz w:val="16"/>
          <w:szCs w:val="16"/>
        </w:rPr>
        <w:t xml:space="preserve"> CFR 32, Part 159, Interim Final Rule, </w:t>
      </w:r>
      <w:r w:rsidRPr="002E6CA2">
        <w:rPr>
          <w:rFonts w:ascii="Arial" w:eastAsiaTheme="minorHAnsi" w:hAnsi="Arial" w:cs="Arial"/>
          <w:bCs/>
          <w:sz w:val="16"/>
          <w:szCs w:val="16"/>
          <w:lang w:bidi="ar-SA"/>
        </w:rPr>
        <w:t>Private Security Contractors (PSCs) Operating in Contingency Operations,</w:t>
      </w:r>
      <w:r w:rsidRPr="002E6CA2">
        <w:rPr>
          <w:rFonts w:ascii="Arial" w:hAnsi="Arial" w:cs="Arial"/>
          <w:sz w:val="16"/>
          <w:szCs w:val="16"/>
        </w:rPr>
        <w:t xml:space="preserve"> </w:t>
      </w:r>
      <w:r w:rsidRPr="002E6CA2">
        <w:rPr>
          <w:rFonts w:ascii="Arial" w:eastAsiaTheme="minorHAnsi" w:hAnsi="Arial" w:cs="Arial"/>
          <w:bCs/>
          <w:sz w:val="16"/>
          <w:szCs w:val="16"/>
          <w:lang w:bidi="ar-SA"/>
        </w:rPr>
        <w:t>Federal Register</w:t>
      </w:r>
      <w:r w:rsidRPr="002E6CA2">
        <w:rPr>
          <w:rFonts w:ascii="Arial" w:eastAsiaTheme="minorHAnsi" w:hAnsi="Arial" w:cs="Arial"/>
          <w:b/>
          <w:bCs/>
          <w:sz w:val="16"/>
          <w:szCs w:val="16"/>
          <w:lang w:bidi="ar-SA"/>
        </w:rPr>
        <w:t xml:space="preserve"> </w:t>
      </w:r>
      <w:r w:rsidRPr="002E6CA2">
        <w:rPr>
          <w:rFonts w:ascii="Arial" w:eastAsiaTheme="minorHAnsi" w:hAnsi="Arial" w:cs="Arial"/>
          <w:sz w:val="16"/>
          <w:szCs w:val="16"/>
          <w:lang w:bidi="ar-SA"/>
        </w:rPr>
        <w:t>/ Vol. 74, No. 136 / Friday, July 17, 2009</w:t>
      </w:r>
      <w:r>
        <w:rPr>
          <w:rFonts w:ascii="Arial" w:eastAsiaTheme="minorHAnsi" w:hAnsi="Arial" w:cs="Arial"/>
          <w:sz w:val="16"/>
          <w:szCs w:val="16"/>
          <w:lang w:bidi="ar-SA"/>
        </w:rPr>
        <w:t>;</w:t>
      </w:r>
      <w:r w:rsidRPr="002E6CA2">
        <w:rPr>
          <w:rFonts w:ascii="Arial" w:eastAsiaTheme="minorHAnsi" w:hAnsi="Arial" w:cs="Arial"/>
          <w:sz w:val="16"/>
          <w:szCs w:val="16"/>
          <w:lang w:bidi="ar-SA"/>
        </w:rPr>
        <w:t xml:space="preserve"> D</w:t>
      </w:r>
      <w:r>
        <w:rPr>
          <w:rFonts w:ascii="Arial" w:eastAsiaTheme="minorHAnsi" w:hAnsi="Arial" w:cs="Arial"/>
          <w:sz w:val="16"/>
          <w:szCs w:val="16"/>
          <w:lang w:bidi="ar-SA"/>
        </w:rPr>
        <w:t>o</w:t>
      </w:r>
      <w:r w:rsidRPr="002E6CA2">
        <w:rPr>
          <w:rFonts w:ascii="Arial" w:eastAsiaTheme="minorHAnsi" w:hAnsi="Arial" w:cs="Arial"/>
          <w:sz w:val="16"/>
          <w:szCs w:val="16"/>
          <w:lang w:bidi="ar-SA"/>
        </w:rPr>
        <w:t>D</w:t>
      </w:r>
      <w:r>
        <w:rPr>
          <w:rFonts w:ascii="Arial" w:eastAsiaTheme="minorHAnsi" w:hAnsi="Arial" w:cs="Arial"/>
          <w:sz w:val="16"/>
          <w:szCs w:val="16"/>
          <w:lang w:bidi="ar-SA"/>
        </w:rPr>
        <w:t xml:space="preserve"> Directive</w:t>
      </w:r>
      <w:r w:rsidRPr="002E6CA2">
        <w:rPr>
          <w:rFonts w:ascii="Arial" w:eastAsiaTheme="minorHAnsi" w:hAnsi="Arial" w:cs="Arial"/>
          <w:sz w:val="16"/>
          <w:szCs w:val="16"/>
          <w:lang w:bidi="ar-SA"/>
        </w:rPr>
        <w:t xml:space="preserve"> 5210.56</w:t>
      </w:r>
      <w:r>
        <w:rPr>
          <w:rFonts w:ascii="Arial" w:eastAsiaTheme="minorHAnsi" w:hAnsi="Arial" w:cs="Arial"/>
          <w:sz w:val="16"/>
          <w:szCs w:val="16"/>
          <w:lang w:bidi="ar-SA"/>
        </w:rPr>
        <w:t xml:space="preserve"> at Enclosure 2, para. 1.b.(3).</w:t>
      </w:r>
    </w:p>
  </w:footnote>
  <w:footnote w:id="16">
    <w:p w:rsidR="00BB0CC0" w:rsidRPr="002E6CA2" w:rsidRDefault="00BB0CC0">
      <w:pPr>
        <w:pStyle w:val="FootnoteText"/>
        <w:rPr>
          <w:rFonts w:ascii="Arial" w:hAnsi="Arial" w:cs="Arial"/>
          <w:sz w:val="16"/>
          <w:szCs w:val="16"/>
        </w:rPr>
      </w:pPr>
      <w:r w:rsidRPr="002E6CA2">
        <w:rPr>
          <w:rStyle w:val="FootnoteReference"/>
          <w:rFonts w:ascii="Arial" w:hAnsi="Arial" w:cs="Arial"/>
          <w:sz w:val="16"/>
          <w:szCs w:val="16"/>
        </w:rPr>
        <w:footnoteRef/>
      </w:r>
      <w:r w:rsidRPr="002E6CA2">
        <w:rPr>
          <w:rFonts w:ascii="Arial" w:hAnsi="Arial" w:cs="Arial"/>
          <w:sz w:val="16"/>
          <w:szCs w:val="16"/>
        </w:rPr>
        <w:t xml:space="preserve"> Id</w:t>
      </w:r>
      <w:r>
        <w:rPr>
          <w:rFonts w:ascii="Arial" w:hAnsi="Arial" w:cs="Arial"/>
          <w:sz w:val="16"/>
          <w:szCs w:val="16"/>
        </w:rPr>
        <w:t>.</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91DDF"/>
    <w:multiLevelType w:val="hybridMultilevel"/>
    <w:tmpl w:val="6F9E9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062C59"/>
    <w:multiLevelType w:val="hybridMultilevel"/>
    <w:tmpl w:val="002C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footnotePr>
    <w:footnote w:id="-1"/>
    <w:footnote w:id="0"/>
  </w:footnotePr>
  <w:endnotePr>
    <w:endnote w:id="-1"/>
    <w:endnote w:id="0"/>
  </w:endnotePr>
  <w:compat/>
  <w:rsids>
    <w:rsidRoot w:val="00477B8B"/>
    <w:rsid w:val="00043CBD"/>
    <w:rsid w:val="000C7AFC"/>
    <w:rsid w:val="000E6257"/>
    <w:rsid w:val="000F21D4"/>
    <w:rsid w:val="000F4A97"/>
    <w:rsid w:val="00125F41"/>
    <w:rsid w:val="001310CF"/>
    <w:rsid w:val="001439DE"/>
    <w:rsid w:val="00162510"/>
    <w:rsid w:val="001C1E2D"/>
    <w:rsid w:val="001C2A7B"/>
    <w:rsid w:val="001C3F65"/>
    <w:rsid w:val="001D0118"/>
    <w:rsid w:val="001F52ED"/>
    <w:rsid w:val="001F6B6E"/>
    <w:rsid w:val="00203FE7"/>
    <w:rsid w:val="00206860"/>
    <w:rsid w:val="00242891"/>
    <w:rsid w:val="002535E8"/>
    <w:rsid w:val="00272CAF"/>
    <w:rsid w:val="002937F9"/>
    <w:rsid w:val="002A426B"/>
    <w:rsid w:val="002C3B02"/>
    <w:rsid w:val="002D0021"/>
    <w:rsid w:val="002E6CA2"/>
    <w:rsid w:val="002F59C9"/>
    <w:rsid w:val="0031263D"/>
    <w:rsid w:val="0035029C"/>
    <w:rsid w:val="00351C0A"/>
    <w:rsid w:val="00352E65"/>
    <w:rsid w:val="003600E2"/>
    <w:rsid w:val="00365336"/>
    <w:rsid w:val="003822C0"/>
    <w:rsid w:val="003A6A54"/>
    <w:rsid w:val="003E13E8"/>
    <w:rsid w:val="003F111E"/>
    <w:rsid w:val="00430FA7"/>
    <w:rsid w:val="00473976"/>
    <w:rsid w:val="00477B8B"/>
    <w:rsid w:val="004F05F1"/>
    <w:rsid w:val="00510723"/>
    <w:rsid w:val="005137CB"/>
    <w:rsid w:val="00522FE0"/>
    <w:rsid w:val="00527550"/>
    <w:rsid w:val="00554019"/>
    <w:rsid w:val="0056129A"/>
    <w:rsid w:val="00566735"/>
    <w:rsid w:val="00573B4E"/>
    <w:rsid w:val="00581F8C"/>
    <w:rsid w:val="0059219A"/>
    <w:rsid w:val="005A4EF9"/>
    <w:rsid w:val="005B53F0"/>
    <w:rsid w:val="005C77A5"/>
    <w:rsid w:val="005F002E"/>
    <w:rsid w:val="00617EF1"/>
    <w:rsid w:val="00632FA5"/>
    <w:rsid w:val="00677153"/>
    <w:rsid w:val="006A4C3D"/>
    <w:rsid w:val="00720293"/>
    <w:rsid w:val="007214FC"/>
    <w:rsid w:val="0074115B"/>
    <w:rsid w:val="00746F8E"/>
    <w:rsid w:val="00755B7D"/>
    <w:rsid w:val="00755D05"/>
    <w:rsid w:val="00756D37"/>
    <w:rsid w:val="007977D2"/>
    <w:rsid w:val="007C691A"/>
    <w:rsid w:val="007E7C49"/>
    <w:rsid w:val="007F00D2"/>
    <w:rsid w:val="00841BEC"/>
    <w:rsid w:val="00841E70"/>
    <w:rsid w:val="00922794"/>
    <w:rsid w:val="00943F89"/>
    <w:rsid w:val="00963667"/>
    <w:rsid w:val="00967D6A"/>
    <w:rsid w:val="009F15C0"/>
    <w:rsid w:val="00A66E51"/>
    <w:rsid w:val="00A91396"/>
    <w:rsid w:val="00A95783"/>
    <w:rsid w:val="00B11037"/>
    <w:rsid w:val="00B35ED7"/>
    <w:rsid w:val="00B95357"/>
    <w:rsid w:val="00BB0CC0"/>
    <w:rsid w:val="00BB11E0"/>
    <w:rsid w:val="00BB3C4F"/>
    <w:rsid w:val="00C033E8"/>
    <w:rsid w:val="00C85DA7"/>
    <w:rsid w:val="00CE4E5C"/>
    <w:rsid w:val="00CF493B"/>
    <w:rsid w:val="00CF4EA2"/>
    <w:rsid w:val="00D11C9F"/>
    <w:rsid w:val="00D13D73"/>
    <w:rsid w:val="00D22B1F"/>
    <w:rsid w:val="00D43194"/>
    <w:rsid w:val="00D638C4"/>
    <w:rsid w:val="00D65B15"/>
    <w:rsid w:val="00D73593"/>
    <w:rsid w:val="00D84351"/>
    <w:rsid w:val="00D93B99"/>
    <w:rsid w:val="00DB4B26"/>
    <w:rsid w:val="00E11140"/>
    <w:rsid w:val="00E422B9"/>
    <w:rsid w:val="00E4722D"/>
    <w:rsid w:val="00E628B2"/>
    <w:rsid w:val="00E8383E"/>
    <w:rsid w:val="00EA4BE0"/>
    <w:rsid w:val="00EA5C5E"/>
    <w:rsid w:val="00EA7DF4"/>
    <w:rsid w:val="00EC044D"/>
    <w:rsid w:val="00EC30B2"/>
    <w:rsid w:val="00ED10A3"/>
    <w:rsid w:val="00EF16D7"/>
    <w:rsid w:val="00EF75F1"/>
    <w:rsid w:val="00F00258"/>
    <w:rsid w:val="00F04F3E"/>
    <w:rsid w:val="00F5204F"/>
    <w:rsid w:val="00F63A63"/>
    <w:rsid w:val="00F90999"/>
    <w:rsid w:val="00F93E43"/>
    <w:rsid w:val="00FA792B"/>
    <w:rsid w:val="00FD44D4"/>
    <w:rsid w:val="00FF23AF"/>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B8B"/>
    <w:pPr>
      <w:spacing w:after="0" w:line="240" w:lineRule="auto"/>
    </w:pPr>
    <w:rPr>
      <w:rFonts w:eastAsiaTheme="minorEastAsia" w:cs="Times New Roman"/>
      <w:sz w:val="24"/>
      <w:szCs w:val="24"/>
      <w:lang w:bidi="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77B8B"/>
    <w:pPr>
      <w:ind w:left="720"/>
      <w:contextualSpacing/>
    </w:pPr>
  </w:style>
  <w:style w:type="paragraph" w:styleId="FootnoteText">
    <w:name w:val="footnote text"/>
    <w:basedOn w:val="Normal"/>
    <w:link w:val="FootnoteTextChar"/>
    <w:uiPriority w:val="99"/>
    <w:semiHidden/>
    <w:unhideWhenUsed/>
    <w:rsid w:val="00EF16D7"/>
    <w:rPr>
      <w:sz w:val="20"/>
      <w:szCs w:val="20"/>
    </w:rPr>
  </w:style>
  <w:style w:type="character" w:customStyle="1" w:styleId="FootnoteTextChar">
    <w:name w:val="Footnote Text Char"/>
    <w:basedOn w:val="DefaultParagraphFont"/>
    <w:link w:val="FootnoteText"/>
    <w:uiPriority w:val="99"/>
    <w:semiHidden/>
    <w:rsid w:val="00EF16D7"/>
    <w:rPr>
      <w:rFonts w:eastAsiaTheme="minorEastAsia" w:cs="Times New Roman"/>
      <w:sz w:val="20"/>
      <w:szCs w:val="20"/>
      <w:lang w:bidi="en-US"/>
    </w:rPr>
  </w:style>
  <w:style w:type="character" w:styleId="FootnoteReference">
    <w:name w:val="footnote reference"/>
    <w:basedOn w:val="DefaultParagraphFont"/>
    <w:uiPriority w:val="99"/>
    <w:semiHidden/>
    <w:unhideWhenUsed/>
    <w:rsid w:val="00EF16D7"/>
    <w:rPr>
      <w:vertAlign w:val="superscript"/>
    </w:rPr>
  </w:style>
  <w:style w:type="paragraph" w:styleId="EndnoteText">
    <w:name w:val="endnote text"/>
    <w:basedOn w:val="Normal"/>
    <w:link w:val="EndnoteTextChar"/>
    <w:uiPriority w:val="99"/>
    <w:semiHidden/>
    <w:unhideWhenUsed/>
    <w:rsid w:val="00EF16D7"/>
    <w:rPr>
      <w:sz w:val="20"/>
      <w:szCs w:val="20"/>
    </w:rPr>
  </w:style>
  <w:style w:type="character" w:customStyle="1" w:styleId="EndnoteTextChar">
    <w:name w:val="Endnote Text Char"/>
    <w:basedOn w:val="DefaultParagraphFont"/>
    <w:link w:val="EndnoteText"/>
    <w:uiPriority w:val="99"/>
    <w:semiHidden/>
    <w:rsid w:val="00EF16D7"/>
    <w:rPr>
      <w:rFonts w:eastAsiaTheme="minorEastAsia" w:cs="Times New Roman"/>
      <w:sz w:val="20"/>
      <w:szCs w:val="20"/>
      <w:lang w:bidi="en-US"/>
    </w:rPr>
  </w:style>
  <w:style w:type="character" w:styleId="EndnoteReference">
    <w:name w:val="endnote reference"/>
    <w:basedOn w:val="DefaultParagraphFont"/>
    <w:uiPriority w:val="99"/>
    <w:semiHidden/>
    <w:unhideWhenUsed/>
    <w:rsid w:val="00EF16D7"/>
    <w:rPr>
      <w:vertAlign w:val="superscript"/>
    </w:rPr>
  </w:style>
  <w:style w:type="character" w:styleId="Hyperlink">
    <w:name w:val="Hyperlink"/>
    <w:basedOn w:val="DefaultParagraphFont"/>
    <w:uiPriority w:val="99"/>
    <w:unhideWhenUsed/>
    <w:rsid w:val="00206860"/>
    <w:rPr>
      <w:color w:val="0000FF"/>
      <w:u w:val="single"/>
    </w:rPr>
  </w:style>
  <w:style w:type="paragraph" w:styleId="BalloonText">
    <w:name w:val="Balloon Text"/>
    <w:basedOn w:val="Normal"/>
    <w:link w:val="BalloonTextChar"/>
    <w:uiPriority w:val="99"/>
    <w:semiHidden/>
    <w:unhideWhenUsed/>
    <w:rsid w:val="00746F8E"/>
    <w:rPr>
      <w:rFonts w:ascii="Tahoma" w:hAnsi="Tahoma" w:cs="Tahoma"/>
      <w:sz w:val="16"/>
      <w:szCs w:val="16"/>
    </w:rPr>
  </w:style>
  <w:style w:type="character" w:customStyle="1" w:styleId="BalloonTextChar">
    <w:name w:val="Balloon Text Char"/>
    <w:basedOn w:val="DefaultParagraphFont"/>
    <w:link w:val="BalloonText"/>
    <w:uiPriority w:val="99"/>
    <w:semiHidden/>
    <w:rsid w:val="00746F8E"/>
    <w:rPr>
      <w:rFonts w:ascii="Tahoma" w:eastAsiaTheme="minorEastAsia" w:hAnsi="Tahoma" w:cs="Tahoma"/>
      <w:sz w:val="16"/>
      <w:szCs w:val="16"/>
      <w:lang w:bidi="en-US"/>
    </w:rPr>
  </w:style>
  <w:style w:type="character" w:styleId="CommentReference">
    <w:name w:val="annotation reference"/>
    <w:basedOn w:val="DefaultParagraphFont"/>
    <w:uiPriority w:val="99"/>
    <w:semiHidden/>
    <w:unhideWhenUsed/>
    <w:rsid w:val="002C3B02"/>
    <w:rPr>
      <w:sz w:val="18"/>
      <w:szCs w:val="18"/>
    </w:rPr>
  </w:style>
  <w:style w:type="paragraph" w:styleId="CommentText">
    <w:name w:val="annotation text"/>
    <w:basedOn w:val="Normal"/>
    <w:link w:val="CommentTextChar"/>
    <w:uiPriority w:val="99"/>
    <w:semiHidden/>
    <w:unhideWhenUsed/>
    <w:rsid w:val="002C3B02"/>
  </w:style>
  <w:style w:type="character" w:customStyle="1" w:styleId="CommentTextChar">
    <w:name w:val="Comment Text Char"/>
    <w:basedOn w:val="DefaultParagraphFont"/>
    <w:link w:val="CommentText"/>
    <w:uiPriority w:val="99"/>
    <w:semiHidden/>
    <w:rsid w:val="002C3B02"/>
    <w:rPr>
      <w:rFonts w:eastAsiaTheme="minorEastAsia" w:cs="Times New Roman"/>
      <w:sz w:val="24"/>
      <w:szCs w:val="24"/>
      <w:lang w:bidi="en-US"/>
    </w:rPr>
  </w:style>
  <w:style w:type="paragraph" w:styleId="CommentSubject">
    <w:name w:val="annotation subject"/>
    <w:basedOn w:val="CommentText"/>
    <w:next w:val="CommentText"/>
    <w:link w:val="CommentSubjectChar"/>
    <w:uiPriority w:val="99"/>
    <w:semiHidden/>
    <w:unhideWhenUsed/>
    <w:rsid w:val="002C3B02"/>
    <w:rPr>
      <w:b/>
      <w:bCs/>
      <w:sz w:val="20"/>
      <w:szCs w:val="20"/>
    </w:rPr>
  </w:style>
  <w:style w:type="character" w:customStyle="1" w:styleId="CommentSubjectChar">
    <w:name w:val="Comment Subject Char"/>
    <w:basedOn w:val="CommentTextChar"/>
    <w:link w:val="CommentSubject"/>
    <w:uiPriority w:val="99"/>
    <w:semiHidden/>
    <w:rsid w:val="002C3B02"/>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eda.admin.ch/eda/en/home/topics/intla/humlaw/pse/psechi.html" TargetMode="External"/><Relationship Id="rId2" Type="http://schemas.openxmlformats.org/officeDocument/2006/relationships/hyperlink" Target="http://dcafdev.ethz.ch/content/download/603/7059/version/1/file/PSC%20-%202010-10-08%20-%20International%20Code%20of%20Conduc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E8C18-38C7-1046-964B-A5E03037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8678</Characters>
  <Application>Microsoft Macintosh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10657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mayerct</dc:creator>
  <cp:keywords/>
  <dc:description/>
  <cp:lastModifiedBy>Debra Mayer</cp:lastModifiedBy>
  <cp:revision>2</cp:revision>
  <cp:lastPrinted>2010-12-09T21:43:00Z</cp:lastPrinted>
  <dcterms:created xsi:type="dcterms:W3CDTF">2010-12-10T20:33:00Z</dcterms:created>
  <dcterms:modified xsi:type="dcterms:W3CDTF">2010-12-10T20:33:00Z</dcterms:modified>
</cp:coreProperties>
</file>